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eastAsia="黑体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运动员成功转型就业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案例申报表</w:t>
      </w:r>
    </w:p>
    <w:tbl>
      <w:tblPr>
        <w:tblStyle w:val="4"/>
        <w:tblW w:w="9720" w:type="dxa"/>
        <w:tblInd w:w="-52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exac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申报类别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就业岗位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就业单位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74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典型事迹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事迹材料要简要典型、描述要实实在在“我的求职故事”，分析求职中的优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5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3360" w:firstLineChars="140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153" w:leftChars="33" w:hanging="84" w:hangingChars="35"/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5892"/>
    <w:rsid w:val="1B525892"/>
    <w:rsid w:val="429900E9"/>
    <w:rsid w:val="533F3DE6"/>
    <w:rsid w:val="5F663A7F"/>
    <w:rsid w:val="60C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2019-04-08T00:33:00Z</dcterms:created>
  <dc:creator>颜璟旭</dc:creator>
  <cp:lastModifiedBy>颜璟旭</cp:lastModifiedBy>
  <dcterms:modified xsi:type="dcterms:W3CDTF">2019-04-16T09:22:46Z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