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5" w:line="560" w:lineRule="exact"/>
        <w:ind w:left="0"/>
        <w:jc w:val="center"/>
        <w:rPr>
          <w:rFonts w:hint="default" w:ascii="宋体" w:hAnsi="宋体" w:eastAsia="宋体" w:cs="宋体"/>
          <w:b/>
          <w:color w:val="auto"/>
          <w:kern w:val="2"/>
          <w:sz w:val="36"/>
          <w:szCs w:val="36"/>
          <w:lang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36"/>
          <w:szCs w:val="36"/>
          <w:lang w:val="en-US" w:eastAsia="zh-CN" w:bidi="ar-SA"/>
        </w:rPr>
        <w:t>中华人民共和国第十四届运动会群众</w:t>
      </w:r>
      <w:r>
        <w:rPr>
          <w:rFonts w:hint="default" w:ascii="宋体" w:hAnsi="宋体" w:eastAsia="宋体" w:cs="宋体"/>
          <w:b/>
          <w:color w:val="auto"/>
          <w:kern w:val="2"/>
          <w:sz w:val="36"/>
          <w:szCs w:val="36"/>
          <w:lang w:eastAsia="zh-CN" w:bidi="ar-SA"/>
        </w:rPr>
        <w:t>比赛</w:t>
      </w:r>
    </w:p>
    <w:p>
      <w:pPr>
        <w:jc w:val="center"/>
        <w:rPr>
          <w:rFonts w:hint="eastAsia" w:ascii="宋体" w:hAnsi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象棋</w:t>
      </w:r>
      <w:r>
        <w:rPr>
          <w:rFonts w:hint="default" w:ascii="宋体" w:hAnsi="宋体"/>
          <w:b/>
          <w:color w:val="auto"/>
          <w:sz w:val="36"/>
          <w:szCs w:val="36"/>
          <w:highlight w:val="none"/>
        </w:rPr>
        <w:t>项目</w:t>
      </w: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竞赛规程</w:t>
      </w:r>
    </w:p>
    <w:p>
      <w:pPr>
        <w:jc w:val="center"/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default"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一、</w:t>
      </w:r>
      <w:r>
        <w:rPr>
          <w:rFonts w:hint="default" w:ascii="仿宋" w:hAnsi="仿宋" w:eastAsia="仿宋"/>
          <w:b/>
          <w:color w:val="auto"/>
          <w:sz w:val="30"/>
          <w:szCs w:val="30"/>
          <w:highlight w:val="none"/>
        </w:rPr>
        <w:t>时间、地点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" w:hAnsi="仿宋" w:eastAsia="仿宋"/>
          <w:color w:val="auto"/>
          <w:sz w:val="30"/>
          <w:szCs w:val="30"/>
          <w:highlight w:val="none"/>
        </w:rPr>
      </w:pPr>
      <w:r>
        <w:rPr>
          <w:rFonts w:hint="default" w:ascii="仿宋" w:hAnsi="仿宋" w:eastAsia="仿宋"/>
          <w:color w:val="auto"/>
          <w:sz w:val="30"/>
          <w:szCs w:val="30"/>
          <w:highlight w:val="none"/>
        </w:rPr>
        <w:t>预、决赛时间：7-8月，地点待定。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二、竞赛项目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（一）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bidi="ar"/>
        </w:rPr>
        <w:t>男子个人公开组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（二）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bidi="ar"/>
        </w:rPr>
        <w:t>男子个人业余组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（三）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bidi="ar"/>
        </w:rPr>
        <w:t>女子个人公开组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（四）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bidi="ar"/>
        </w:rPr>
        <w:t>女子个人业余组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（五）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bidi="ar"/>
        </w:rPr>
        <w:t>男子团体公开组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（六）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bidi="ar"/>
        </w:rPr>
        <w:t>男子团体业余组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（七）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bidi="ar"/>
        </w:rPr>
        <w:t>女子团体公开组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（八）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bidi="ar"/>
        </w:rPr>
        <w:t>女子团体业余组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三、运动员资格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198"/>
        <w:textAlignment w:val="auto"/>
        <w:rPr>
          <w:rFonts w:ascii="仿宋" w:hAnsi="仿宋" w:eastAsia="仿宋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（一）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中华人民共和国公民。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" w:hAnsi="仿宋" w:eastAsia="仿宋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（二）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经县级以上医务部门检查证明身体健康，适宜参加象棋比赛。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（三）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运动员为25周岁以上，60周岁以下（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1961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月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1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日至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199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日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期间出生）。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（四）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代表资格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运动员代表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省、自治区、直辖市参赛，其代表资格可为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本人户籍所在地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长期居住地或就职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所在地。代表本人户籍所在地，应以所在地居民户口簿为依据；代表本人长期居住地，应以居住证和社保缴纳记录为依据；代表本人就职单位所在地，应以就职单位所在地劳动合同、收入及纳税证明、社保证明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2.运动员代表行业体协参赛，其代表资格以本人就职行业所在单位劳动合同、收入及纳税证明、社保证明为依据。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3.上述证明材料应为预赛报名截止之日前连续满一年。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.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业余组参赛运动员应为 2021年1月20日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eastAsia="zh-CN"/>
        </w:rPr>
        <w:t>公布的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男子等级分在2450以下、女子等级分在2250以下，且2021年4月30 日前未获得国家级运动健将及以上称号者。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四、参加办法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预赛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仿宋" w:hAnsi="仿宋" w:eastAsia="仿宋"/>
          <w:bCs/>
          <w:color w:val="auto"/>
          <w:sz w:val="30"/>
          <w:szCs w:val="30"/>
          <w:highlight w:val="none"/>
        </w:rPr>
      </w:pPr>
      <w:r>
        <w:rPr>
          <w:rFonts w:hint="eastAsia" w:ascii="仿宋_GB2312" w:hAnsi="仿宋" w:eastAsia="仿宋"/>
          <w:color w:val="auto"/>
          <w:sz w:val="30"/>
          <w:szCs w:val="30"/>
          <w:highlight w:val="none"/>
          <w:lang w:val="en-US" w:eastAsia="zh-CN"/>
        </w:rPr>
        <w:t>1.各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单位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负责</w:t>
      </w:r>
      <w:r>
        <w:rPr>
          <w:rFonts w:hint="default" w:ascii="仿宋" w:hAnsi="仿宋" w:eastAsia="仿宋"/>
          <w:bCs/>
          <w:color w:val="auto"/>
          <w:sz w:val="30"/>
          <w:szCs w:val="30"/>
          <w:highlight w:val="none"/>
          <w:lang w:eastAsia="zh-CN"/>
        </w:rPr>
        <w:t>组织开展“我要上全运”选拔赛事，从优胜者中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选派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运动员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参加预赛</w:t>
      </w:r>
      <w:r>
        <w:rPr>
          <w:rFonts w:hint="default" w:ascii="仿宋" w:hAnsi="仿宋" w:eastAsia="仿宋"/>
          <w:bCs/>
          <w:color w:val="auto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</w:pPr>
      <w:r>
        <w:rPr>
          <w:rFonts w:hint="default" w:ascii="仿宋" w:hAnsi="仿宋" w:eastAsia="仿宋"/>
          <w:bCs/>
          <w:color w:val="auto"/>
          <w:sz w:val="30"/>
          <w:szCs w:val="30"/>
          <w:highlight w:val="none"/>
        </w:rPr>
        <w:t>2.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运动员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eastAsia="zh-CN"/>
        </w:rPr>
        <w:t>不可兼项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参赛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。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获得决赛资格的单位不参加预赛。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0" w:firstLineChars="200"/>
        <w:textAlignment w:val="auto"/>
        <w:rPr>
          <w:rFonts w:hint="default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仿宋_GB2312" w:hAnsi="仿宋" w:eastAsia="仿宋"/>
          <w:color w:val="auto"/>
          <w:sz w:val="30"/>
          <w:szCs w:val="30"/>
          <w:highlight w:val="none"/>
          <w:lang w:eastAsia="zh-CN"/>
        </w:rPr>
        <w:t>3</w:t>
      </w:r>
      <w:r>
        <w:rPr>
          <w:rFonts w:hint="eastAsia" w:ascii="仿宋_GB2312" w:hAnsi="仿宋" w:eastAsia="仿宋"/>
          <w:color w:val="auto"/>
          <w:sz w:val="30"/>
          <w:szCs w:val="30"/>
          <w:highlight w:val="none"/>
          <w:lang w:val="en-US" w:eastAsia="zh-CN"/>
        </w:rPr>
        <w:t>.每单位公开组、业余组分别可报运动员男子个人1人、女子个人1人、</w:t>
      </w:r>
      <w:r>
        <w:rPr>
          <w:rFonts w:hint="eastAsia" w:ascii="仿宋_GB2312" w:hAnsi="仿宋" w:eastAsia="仿宋"/>
          <w:color w:val="auto"/>
          <w:sz w:val="30"/>
          <w:szCs w:val="30"/>
          <w:highlight w:val="none"/>
        </w:rPr>
        <w:t>男子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团体3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人、</w:t>
      </w:r>
      <w:r>
        <w:rPr>
          <w:rFonts w:hint="eastAsia" w:ascii="仿宋_GB2312" w:hAnsi="仿宋" w:eastAsia="仿宋"/>
          <w:color w:val="auto"/>
          <w:sz w:val="30"/>
          <w:szCs w:val="30"/>
          <w:highlight w:val="none"/>
        </w:rPr>
        <w:t>女子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团体2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人。团体比赛台次按2021年1月公布的等级分顺序排列，高者列前。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00" w:firstLineChars="200"/>
        <w:textAlignment w:val="auto"/>
        <w:rPr>
          <w:rFonts w:hint="default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仿宋" w:hAnsi="仿宋" w:eastAsia="仿宋"/>
          <w:bCs/>
          <w:color w:val="auto"/>
          <w:sz w:val="30"/>
          <w:szCs w:val="30"/>
          <w:highlight w:val="none"/>
          <w:lang w:eastAsia="zh-CN"/>
        </w:rPr>
        <w:t>4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参赛运动员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9人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及以上的单位，可报领队、教练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和队务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各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1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人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eastAsia="zh-CN"/>
        </w:rPr>
        <w:t>；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参赛运动员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5-8人的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单位，可报领队、教练各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1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人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eastAsia="zh-CN"/>
        </w:rPr>
        <w:t>；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其他单位可报领队兼教练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1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0"/>
        <w:textAlignment w:val="auto"/>
        <w:rPr>
          <w:rFonts w:ascii="仿宋" w:hAnsi="仿宋" w:eastAsia="仿宋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决赛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1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.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预赛各项前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10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名获得决赛资格。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承办决赛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的省（区、市）和陕西省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，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eastAsia="zh-CN"/>
        </w:rPr>
        <w:t>均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可获得各项1人（队）决赛参赛资格。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3.香港特别行政区、澳门特别行政区和台湾省可选派运动员直接参加男、女个人公开组和业余组比赛，每组均可报男子个人1人、女子个人1人。参加业余组比赛的运动员，应为2020年12月31日前未获得世界象棋联合会颁发的棋联大师及以上称号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4.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参赛运动员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9人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及以上的单位，可报领队、教练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和队务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各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1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人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eastAsia="zh-CN"/>
        </w:rPr>
        <w:t>；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参赛运动员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5-8人的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单位，可报领队、教练各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1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人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eastAsia="zh-CN"/>
        </w:rPr>
        <w:t>；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其他单位可报领队兼教练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1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人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五、竞赛办法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（一）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执行中国象棋协会《象棋竞赛规则（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2020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Hans"/>
        </w:rPr>
        <w:t>版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）》。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ascii="仿宋" w:hAnsi="仿宋" w:eastAsia="仿宋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（二）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赛制和轮次：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eastAsia="zh-CN"/>
        </w:rPr>
      </w:pP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1.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预赛：均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采用积分编排制比赛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7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轮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2.决赛; 均采用积分晋圈淘汰制，依据《象棋竞赛规则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（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2020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Hans"/>
        </w:rPr>
        <w:t>版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）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  <w:lang w:val="en-US" w:eastAsia="zh-CN"/>
        </w:rPr>
        <w:t>》10.4.1和10.4.1.2条款，积分编排比赛5轮后，进行两轮制淘汰赛。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（三）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比赛用时：每方基本用时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30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分钟，每走一步加</w:t>
      </w:r>
      <w:r>
        <w:rPr>
          <w:rFonts w:ascii="仿宋" w:hAnsi="仿宋" w:eastAsia="仿宋"/>
          <w:bCs/>
          <w:color w:val="auto"/>
          <w:sz w:val="30"/>
          <w:szCs w:val="30"/>
          <w:highlight w:val="none"/>
        </w:rPr>
        <w:t>30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（四）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有关加赛办法，另行规定。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六、录取名次与奖励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（一）各组决赛均录取前八名，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eastAsia="zh-CN"/>
        </w:rPr>
        <w:t>颁发获奖证书，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名次不并列。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（二）获得各组决赛前三名的运动队、运动员分别颁发金、银、铜牌。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  <w:lang w:eastAsia="zh-CN"/>
        </w:rPr>
        <w:t>（三）对所有参加决赛的运动员颁发参赛证书。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七、报名和报到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（一）报名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1.各省、自治区、直辖市、</w:t>
      </w: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新疆生产建设兵团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和相关行业体协负责组织报名工作。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2.香港象棋总会、澳门象棋总会、中</w:t>
      </w:r>
      <w:r>
        <w:rPr>
          <w:rFonts w:hint="default" w:ascii="仿宋" w:hAnsi="仿宋" w:eastAsia="仿宋"/>
          <w:color w:val="auto"/>
          <w:sz w:val="30"/>
          <w:szCs w:val="30"/>
          <w:highlight w:val="none"/>
        </w:rPr>
        <w:t>国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台北象棋协会负责本地报名工作。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3.各参赛单位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包括直接获得决赛资格的单位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 xml:space="preserve">须于2021年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日前将报名表（见附件）加盖公章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运动员代表资格证明材料和身份证复印件的纸质文件和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电子扫描文件发至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国家体育总局棋牌运动管理中心象棋部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，逾期报名无效。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预决赛报名网址：</w:t>
      </w:r>
    </w:p>
    <w:p>
      <w:pPr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仿宋" w:hAnsi="仿宋" w:eastAsia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仿宋" w:hAnsi="仿宋" w:eastAsia="仿宋" w:cs="仿宋"/>
          <w:b w:val="0"/>
          <w:i w:val="0"/>
          <w:caps w:val="0"/>
          <w:spacing w:val="0"/>
          <w:w w:val="100"/>
          <w:sz w:val="32"/>
          <w:szCs w:val="32"/>
        </w:rPr>
        <w:t>http://qzsshdbm.basts.com.cn。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/>
          <w:color w:val="auto"/>
          <w:sz w:val="30"/>
          <w:szCs w:val="30"/>
          <w:highlight w:val="none"/>
          <w:lang w:val="en-US"/>
        </w:rPr>
      </w:pPr>
      <w:bookmarkStart w:id="2" w:name="_GoBack"/>
      <w:bookmarkEnd w:id="2"/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 xml:space="preserve">    通信地址：北京市东城区天坛东路80号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象棋部，邮编100061。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联系人、电话：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李泽超，010-87559139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eastAsia="zh-CN"/>
        </w:rPr>
        <w:t>；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陈环宇，010-87559137。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电子邮箱：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Hans"/>
        </w:rPr>
        <w:t>zgxq</w:t>
      </w:r>
      <w:r>
        <w:rPr>
          <w:rFonts w:hint="default" w:ascii="仿宋" w:hAnsi="仿宋" w:eastAsia="仿宋"/>
          <w:color w:val="auto"/>
          <w:sz w:val="30"/>
          <w:szCs w:val="30"/>
          <w:highlight w:val="none"/>
          <w:lang w:eastAsia="zh-Hans"/>
        </w:rPr>
        <w:t>baoming@126.com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eastAsia="zh-CN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textAlignment w:val="auto"/>
        <w:rPr>
          <w:rFonts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 xml:space="preserve">（二）公示：报名结束后将于 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月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17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日在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国家体育总局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Hans"/>
        </w:rPr>
        <w:t>棋牌中心子网站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和中国象棋协会微信公众号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公示。如有异议，请于公示截止日前，以书面形式报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总局棋牌中心象棋部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，逾期不予受理。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（三）决赛报名、公示时间另行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eastAsia="zh-CN"/>
        </w:rPr>
        <w:t>补充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（四）技术官员在比赛开始前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天报到，比赛结束后1天离会；因赛前准备工作需要提前报到的人员，须报经国家体育总局批准。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（五）各参赛队在比赛开始前2天报到，比赛结束后1天离会。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八、技术官员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选派办法另定。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九、兴奋剂和年龄、性别检查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兴奋剂检查和处罚按照国家体育总局、中国奥委会反兴奋剂委员会的有关规定执行。性别按照报名提供的证件年龄、性别一栏进行检查。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十、仲裁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Cs/>
          <w:color w:val="auto"/>
          <w:sz w:val="30"/>
          <w:szCs w:val="30"/>
          <w:highlight w:val="none"/>
        </w:rPr>
        <w:t>选派办法另定。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0" w:firstLineChars="196"/>
        <w:textAlignment w:val="auto"/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十一、经费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（一）运动员参赛经费参照《中华人民共和国第十四届运动会群众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eastAsia="zh-CN"/>
        </w:rPr>
        <w:t>赛事活动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规程总则》执行。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（二）技术官员正式报到至离会期间，组委会将负担其食宿、差旅、市内交通、工作补贴等相关费用。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 w:cs="宋体"/>
          <w:color w:val="auto"/>
          <w:sz w:val="30"/>
          <w:szCs w:val="30"/>
          <w:highlight w:val="none"/>
        </w:rPr>
      </w:pPr>
      <w:bookmarkStart w:id="0" w:name="_Toc527862210"/>
      <w:bookmarkStart w:id="1" w:name="_Toc4814"/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十二、</w:t>
      </w:r>
      <w:r>
        <w:rPr>
          <w:rFonts w:hint="eastAsia" w:ascii="仿宋" w:hAnsi="仿宋" w:eastAsia="仿宋" w:cs="宋体"/>
          <w:b/>
          <w:color w:val="auto"/>
          <w:sz w:val="30"/>
          <w:szCs w:val="30"/>
          <w:highlight w:val="none"/>
        </w:rPr>
        <w:t>疫情防控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宋体"/>
          <w:color w:val="auto"/>
          <w:sz w:val="30"/>
          <w:szCs w:val="30"/>
          <w:highlight w:val="none"/>
        </w:rPr>
        <w:t>严格按照第十四届全国运动会群众比赛象棋项目预（决）赛疫情防控工作方案</w:t>
      </w:r>
      <w:bookmarkEnd w:id="0"/>
      <w:bookmarkEnd w:id="1"/>
      <w:r>
        <w:rPr>
          <w:rFonts w:hint="eastAsia" w:ascii="仿宋" w:hAnsi="仿宋" w:eastAsia="仿宋" w:cs="宋体"/>
          <w:color w:val="auto"/>
          <w:sz w:val="30"/>
          <w:szCs w:val="30"/>
          <w:highlight w:val="none"/>
        </w:rPr>
        <w:t>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30"/>
          <w:szCs w:val="30"/>
          <w:highlight w:val="none"/>
        </w:rPr>
        <w:t>十三、其他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（一）参赛队人员须购买人身意外伤害保险（含比赛期间和往返途中），并于报到时出示，否则不得参加比赛。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（二）领队会定于赛前1天1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0"/>
          <w:szCs w:val="30"/>
          <w:highlight w:val="none"/>
        </w:rPr>
        <w:t>:00召开，各参赛队须由领队参加。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十四、本规程解释权属国家体育总局棋牌运动管理中心。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t>十五、未尽事宜，另行通知。</w:t>
      </w:r>
    </w:p>
    <w:p>
      <w:pPr>
        <w:spacing w:line="560" w:lineRule="exact"/>
        <w:rPr>
          <w:rFonts w:hint="eastAsia" w:ascii="仿宋" w:hAnsi="仿宋" w:eastAsia="仿宋"/>
          <w:color w:val="auto"/>
          <w:sz w:val="30"/>
          <w:szCs w:val="30"/>
          <w:highlight w:val="none"/>
        </w:rPr>
      </w:pPr>
    </w:p>
    <w:p>
      <w:pPr>
        <w:spacing w:line="240" w:lineRule="auto"/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/>
          <w:b/>
          <w:color w:val="auto"/>
          <w:sz w:val="30"/>
          <w:szCs w:val="30"/>
          <w:highlight w:val="none"/>
        </w:rPr>
        <w:br w:type="page"/>
      </w:r>
    </w:p>
    <w:p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第十四届全国运动会群众比赛</w:t>
      </w:r>
    </w:p>
    <w:p>
      <w:pPr>
        <w:spacing w:line="560" w:lineRule="exact"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象棋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竞赛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报名表</w:t>
      </w:r>
    </w:p>
    <w:p>
      <w:pPr>
        <w:jc w:val="left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报名单位：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</w:t>
      </w:r>
      <w:r>
        <w:rPr>
          <w:rFonts w:ascii="仿宋" w:hAnsi="仿宋" w:eastAsia="仿宋"/>
          <w:color w:val="auto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color w:val="auto"/>
          <w:sz w:val="30"/>
          <w:szCs w:val="30"/>
        </w:rPr>
        <w:t>（盖章）</w:t>
      </w:r>
    </w:p>
    <w:tbl>
      <w:tblPr>
        <w:tblStyle w:val="8"/>
        <w:tblW w:w="881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1509"/>
        <w:gridCol w:w="1411"/>
        <w:gridCol w:w="706"/>
        <w:gridCol w:w="2855"/>
        <w:gridCol w:w="117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6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6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领队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668" w:type="dxa"/>
            <w:gridSpan w:val="2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教练</w:t>
            </w:r>
          </w:p>
        </w:tc>
        <w:tc>
          <w:tcPr>
            <w:tcW w:w="1411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855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668" w:type="dxa"/>
            <w:gridSpan w:val="2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队务</w:t>
            </w:r>
          </w:p>
        </w:tc>
        <w:tc>
          <w:tcPr>
            <w:tcW w:w="1411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855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509" w:type="dxa"/>
            <w:tcBorders>
              <w:top w:val="doub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组别</w:t>
            </w:r>
          </w:p>
        </w:tc>
        <w:tc>
          <w:tcPr>
            <w:tcW w:w="1411" w:type="dxa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06" w:type="dxa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855" w:type="dxa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173" w:type="dxa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男子个人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公开组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男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业余组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男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女子个人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公开组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女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业余组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女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男子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团体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公开组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男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第一台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男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第二台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男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第三台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业余组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男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第一台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男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第二台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男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第三台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女子团体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公开组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第一台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第二台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5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业余组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第一台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5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5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8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第二台</w:t>
            </w:r>
          </w:p>
        </w:tc>
      </w:tr>
    </w:tbl>
    <w:p>
      <w:pPr>
        <w:spacing w:line="720" w:lineRule="exact"/>
        <w:jc w:val="center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填表人：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 xml:space="preserve">  电话：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shd w:val="clear" w:color="auto" w:fill="FFFFFF"/>
        </w:rPr>
        <w:t xml:space="preserve">           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日</w:t>
      </w:r>
    </w:p>
    <w:p>
      <w:pPr>
        <w:spacing w:line="560" w:lineRule="exact"/>
        <w:rPr>
          <w:rFonts w:hint="eastAsia" w:ascii="仿宋" w:hAnsi="仿宋" w:eastAsia="仿宋"/>
          <w:b/>
          <w:color w:val="auto"/>
          <w:sz w:val="30"/>
          <w:szCs w:val="30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CE86F2"/>
    <w:multiLevelType w:val="singleLevel"/>
    <w:tmpl w:val="F8CE86F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5E"/>
    <w:rsid w:val="000002F5"/>
    <w:rsid w:val="00036A9D"/>
    <w:rsid w:val="00040A47"/>
    <w:rsid w:val="0004452B"/>
    <w:rsid w:val="0004522D"/>
    <w:rsid w:val="000902C8"/>
    <w:rsid w:val="000D7FA2"/>
    <w:rsid w:val="000F02D1"/>
    <w:rsid w:val="00105884"/>
    <w:rsid w:val="001436FC"/>
    <w:rsid w:val="001879CC"/>
    <w:rsid w:val="001A5D5E"/>
    <w:rsid w:val="001F423C"/>
    <w:rsid w:val="002073C3"/>
    <w:rsid w:val="00217568"/>
    <w:rsid w:val="00223419"/>
    <w:rsid w:val="002B462E"/>
    <w:rsid w:val="002C188F"/>
    <w:rsid w:val="002E1E3F"/>
    <w:rsid w:val="002E2A6C"/>
    <w:rsid w:val="002F25E6"/>
    <w:rsid w:val="00311503"/>
    <w:rsid w:val="00313539"/>
    <w:rsid w:val="0032170A"/>
    <w:rsid w:val="003C4ED9"/>
    <w:rsid w:val="0042697A"/>
    <w:rsid w:val="0049376A"/>
    <w:rsid w:val="004B40F8"/>
    <w:rsid w:val="004D3361"/>
    <w:rsid w:val="004F6567"/>
    <w:rsid w:val="00514B5D"/>
    <w:rsid w:val="00537227"/>
    <w:rsid w:val="005838EF"/>
    <w:rsid w:val="00596861"/>
    <w:rsid w:val="005D5110"/>
    <w:rsid w:val="005F6168"/>
    <w:rsid w:val="00605E5A"/>
    <w:rsid w:val="0062326E"/>
    <w:rsid w:val="006601A1"/>
    <w:rsid w:val="006918CA"/>
    <w:rsid w:val="006A0B05"/>
    <w:rsid w:val="006A2CA4"/>
    <w:rsid w:val="006B730B"/>
    <w:rsid w:val="006E3916"/>
    <w:rsid w:val="00780AC1"/>
    <w:rsid w:val="007865D0"/>
    <w:rsid w:val="00796E0E"/>
    <w:rsid w:val="00797534"/>
    <w:rsid w:val="007E17BD"/>
    <w:rsid w:val="007E544B"/>
    <w:rsid w:val="007E5A1A"/>
    <w:rsid w:val="00807069"/>
    <w:rsid w:val="0082030D"/>
    <w:rsid w:val="00825839"/>
    <w:rsid w:val="00831272"/>
    <w:rsid w:val="0083773D"/>
    <w:rsid w:val="008405D6"/>
    <w:rsid w:val="008417FE"/>
    <w:rsid w:val="00851CAB"/>
    <w:rsid w:val="00856185"/>
    <w:rsid w:val="008D35D5"/>
    <w:rsid w:val="008E475A"/>
    <w:rsid w:val="00900A57"/>
    <w:rsid w:val="00902B1C"/>
    <w:rsid w:val="00910B12"/>
    <w:rsid w:val="009119C0"/>
    <w:rsid w:val="009437C2"/>
    <w:rsid w:val="0096261D"/>
    <w:rsid w:val="009A015E"/>
    <w:rsid w:val="009C40D9"/>
    <w:rsid w:val="00AA4129"/>
    <w:rsid w:val="00B0179E"/>
    <w:rsid w:val="00B072B6"/>
    <w:rsid w:val="00B522A9"/>
    <w:rsid w:val="00C12D84"/>
    <w:rsid w:val="00C31749"/>
    <w:rsid w:val="00C92A3D"/>
    <w:rsid w:val="00D2238D"/>
    <w:rsid w:val="00D259D2"/>
    <w:rsid w:val="00DE669E"/>
    <w:rsid w:val="00DE750C"/>
    <w:rsid w:val="00DF1202"/>
    <w:rsid w:val="00E24DA3"/>
    <w:rsid w:val="00E60292"/>
    <w:rsid w:val="00E6662C"/>
    <w:rsid w:val="00E669B7"/>
    <w:rsid w:val="00EA3632"/>
    <w:rsid w:val="00EB333A"/>
    <w:rsid w:val="00EB39E7"/>
    <w:rsid w:val="00ED2CD7"/>
    <w:rsid w:val="00F15538"/>
    <w:rsid w:val="00F344CF"/>
    <w:rsid w:val="00F5787B"/>
    <w:rsid w:val="00F65469"/>
    <w:rsid w:val="00F73CED"/>
    <w:rsid w:val="00F84B38"/>
    <w:rsid w:val="00F95BFA"/>
    <w:rsid w:val="00FE1BE7"/>
    <w:rsid w:val="00FE696B"/>
    <w:rsid w:val="00FF7DFE"/>
    <w:rsid w:val="013F4B67"/>
    <w:rsid w:val="01993703"/>
    <w:rsid w:val="03587484"/>
    <w:rsid w:val="052A55A4"/>
    <w:rsid w:val="05845185"/>
    <w:rsid w:val="07715600"/>
    <w:rsid w:val="0A0219A1"/>
    <w:rsid w:val="0A5133E9"/>
    <w:rsid w:val="0D1D338A"/>
    <w:rsid w:val="136A549F"/>
    <w:rsid w:val="157B768D"/>
    <w:rsid w:val="17332484"/>
    <w:rsid w:val="1DBA3967"/>
    <w:rsid w:val="225A0FFF"/>
    <w:rsid w:val="24073C0A"/>
    <w:rsid w:val="251F337F"/>
    <w:rsid w:val="2A217B51"/>
    <w:rsid w:val="2B9D24DC"/>
    <w:rsid w:val="30180FC5"/>
    <w:rsid w:val="370612BD"/>
    <w:rsid w:val="376B1DD2"/>
    <w:rsid w:val="37B72C78"/>
    <w:rsid w:val="37D06119"/>
    <w:rsid w:val="37E350AD"/>
    <w:rsid w:val="37F2D244"/>
    <w:rsid w:val="3AAB2207"/>
    <w:rsid w:val="3CAA5805"/>
    <w:rsid w:val="3FBAAA9D"/>
    <w:rsid w:val="4BB77802"/>
    <w:rsid w:val="4CD44FBD"/>
    <w:rsid w:val="50C96BA7"/>
    <w:rsid w:val="5245521F"/>
    <w:rsid w:val="583B236B"/>
    <w:rsid w:val="599257F5"/>
    <w:rsid w:val="5CA20BAF"/>
    <w:rsid w:val="5D6E24CE"/>
    <w:rsid w:val="5DBD2A0F"/>
    <w:rsid w:val="5FEF6D37"/>
    <w:rsid w:val="60833AD8"/>
    <w:rsid w:val="619A09DA"/>
    <w:rsid w:val="630836E4"/>
    <w:rsid w:val="63E75936"/>
    <w:rsid w:val="66471CAA"/>
    <w:rsid w:val="66DF2D9D"/>
    <w:rsid w:val="67F778D1"/>
    <w:rsid w:val="6ABF1D02"/>
    <w:rsid w:val="6D7D3A9C"/>
    <w:rsid w:val="6DDEBB8E"/>
    <w:rsid w:val="6EF7454D"/>
    <w:rsid w:val="778A21FC"/>
    <w:rsid w:val="784E03DE"/>
    <w:rsid w:val="7A687821"/>
    <w:rsid w:val="7D4C7D14"/>
    <w:rsid w:val="7DE319B5"/>
    <w:rsid w:val="7E9D1851"/>
    <w:rsid w:val="B79E85CD"/>
    <w:rsid w:val="C3BD39F8"/>
    <w:rsid w:val="E8D584F6"/>
    <w:rsid w:val="EEB7A1C1"/>
    <w:rsid w:val="F7EDB75E"/>
    <w:rsid w:val="FFE89BA8"/>
    <w:rsid w:val="FFFF9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ind w:left="120"/>
    </w:pPr>
    <w:rPr>
      <w:sz w:val="28"/>
      <w:szCs w:val="28"/>
    </w:rPr>
  </w:style>
  <w:style w:type="paragraph" w:styleId="4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customStyle="1" w:styleId="11">
    <w:name w:val="页眉 字符"/>
    <w:link w:val="6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_Style 10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脚 字符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2134</Words>
  <Characters>2264</Characters>
  <Lines>14</Lines>
  <Paragraphs>4</Paragraphs>
  <TotalTime>0</TotalTime>
  <ScaleCrop>false</ScaleCrop>
  <LinksUpToDate>false</LinksUpToDate>
  <CharactersWithSpaces>2353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2017-03-16T07:04:00Z</dcterms:created>
  <dc:creator>qtsqy</dc:creator>
  <cp:lastModifiedBy>dongliyuan</cp:lastModifiedBy>
  <cp:lastPrinted>2021-03-25T01:24:00Z</cp:lastPrinted>
  <dcterms:modified xsi:type="dcterms:W3CDTF">2021-04-26T19:07:32Z</dcterms:modified>
  <dc:title>第十三届全国运动会群众比赛象棋竞赛规程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FD9D2AF645DD4E8C8AD96EBD1BBFABF4</vt:lpwstr>
  </property>
</Properties>
</file>