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rPr>
          <w:rFonts w:hint="default" w:ascii="Times New Roman" w:hAnsi="Times New Roman" w:eastAsia="黑体" w:cs="Times New Roman"/>
          <w:lang w:eastAsia="zh-CN"/>
        </w:rPr>
      </w:pPr>
      <w:r>
        <w:rPr>
          <w:rFonts w:hint="default" w:ascii="Times New Roman" w:hAnsi="Times New Roman" w:eastAsia="黑体" w:cs="Times New Roman"/>
        </w:rPr>
        <w:t>附件</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12" w:name="_GoBack"/>
      <w:r>
        <w:rPr>
          <w:rFonts w:hint="default" w:ascii="Times New Roman" w:hAnsi="Times New Roman" w:eastAsia="方正小标宋简体" w:cs="Times New Roman"/>
          <w:sz w:val="44"/>
          <w:szCs w:val="44"/>
        </w:rPr>
        <w:t>贵州省</w:t>
      </w:r>
      <w:r>
        <w:rPr>
          <w:rFonts w:hint="eastAsia" w:eastAsia="方正小标宋简体" w:cs="Times New Roman"/>
          <w:sz w:val="44"/>
          <w:szCs w:val="44"/>
          <w:lang w:eastAsia="zh-CN"/>
        </w:rPr>
        <w:t>体旅融合产业</w:t>
      </w:r>
      <w:bookmarkEnd w:id="12"/>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专项基金管理人公开征集方案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为进一步做好贵州省</w:t>
      </w:r>
      <w:r>
        <w:rPr>
          <w:rFonts w:hint="eastAsia" w:ascii="Times New Roman" w:hAnsi="Times New Roman" w:cs="Times New Roman"/>
          <w:lang w:eastAsia="zh-CN"/>
        </w:rPr>
        <w:t>体旅融合产业专项</w:t>
      </w:r>
      <w:r>
        <w:rPr>
          <w:rFonts w:hint="default" w:ascii="Times New Roman" w:hAnsi="Times New Roman" w:cs="Times New Roman"/>
        </w:rPr>
        <w:t>基金（以下统称“</w:t>
      </w:r>
      <w:r>
        <w:rPr>
          <w:rFonts w:hint="eastAsia" w:ascii="Times New Roman" w:hAnsi="Times New Roman" w:cs="Times New Roman"/>
          <w:lang w:eastAsia="zh-CN"/>
        </w:rPr>
        <w:t>体旅融合产业专项</w:t>
      </w:r>
      <w:r>
        <w:rPr>
          <w:rFonts w:hint="default" w:ascii="Times New Roman" w:hAnsi="Times New Roman" w:cs="Times New Roman"/>
        </w:rPr>
        <w:t>基金”）专项基金管理人公开征集工作，充分发挥省级政府投资基金引导带动作用和杠杆放大效应，按照《省人民政府办公厅关于印发〈省级政府投资基金优化整合实施方案&gt;的通知》（黔府办发〔2021〕9号）等要求，特制定</w:t>
      </w:r>
      <w:r>
        <w:rPr>
          <w:rFonts w:hint="eastAsia" w:ascii="Times New Roman" w:hAnsi="Times New Roman" w:cs="Times New Roman"/>
          <w:lang w:eastAsia="zh-CN"/>
        </w:rPr>
        <w:t>体旅融合产业专项</w:t>
      </w:r>
      <w:r>
        <w:rPr>
          <w:rFonts w:hint="default" w:ascii="Times New Roman" w:hAnsi="Times New Roman" w:cs="Times New Roman"/>
        </w:rPr>
        <w:t>基金管理人公开征集方案：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bookmarkStart w:id="0" w:name="_Toc11384_WPSOffice_Level1"/>
      <w:r>
        <w:rPr>
          <w:rFonts w:hint="default" w:ascii="Times New Roman" w:hAnsi="Times New Roman" w:eastAsia="黑体" w:cs="Times New Roman"/>
        </w:rPr>
        <w:t>一</w:t>
      </w:r>
      <w:r>
        <w:rPr>
          <w:rFonts w:hint="default" w:ascii="Times New Roman" w:hAnsi="Times New Roman" w:eastAsia="仿宋_GB2312" w:cs="Times New Roman"/>
        </w:rPr>
        <w:t>、</w:t>
      </w:r>
      <w:r>
        <w:rPr>
          <w:rFonts w:hint="default" w:ascii="Times New Roman" w:hAnsi="Times New Roman" w:eastAsia="黑体" w:cs="Times New Roman"/>
        </w:rPr>
        <w:t>基本原则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eastAsia" w:ascii="楷体_GB2312" w:hAnsi="楷体_GB2312" w:eastAsia="楷体_GB2312" w:cs="楷体_GB2312"/>
        </w:rPr>
        <w:t>（一）依法依规</w:t>
      </w:r>
      <w:r>
        <w:rPr>
          <w:rFonts w:hint="default" w:ascii="Times New Roman" w:hAnsi="Times New Roman" w:cs="Times New Roman"/>
        </w:rPr>
        <w:t>。专项基金管理人公开征集应符合《政府投资基金暂行管理办法》、《私募投资基金监督管理暂行办法》等法律法规的要求。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楷体_GB2312" w:hAnsi="楷体_GB2312" w:eastAsia="楷体_GB2312" w:cs="楷体_GB2312"/>
        </w:rPr>
        <w:t>（二）公正公平</w:t>
      </w:r>
      <w:r>
        <w:rPr>
          <w:rFonts w:hint="default" w:ascii="Times New Roman" w:hAnsi="Times New Roman" w:cs="Times New Roman"/>
        </w:rPr>
        <w:t>。符合申请资格的管理人均可递交资料参与征集，</w:t>
      </w:r>
      <w:r>
        <w:rPr>
          <w:rFonts w:hint="eastAsia" w:ascii="Times New Roman" w:hAnsi="Times New Roman" w:cs="Times New Roman"/>
          <w:lang w:eastAsia="zh-CN"/>
        </w:rPr>
        <w:t>体旅融合产业专项</w:t>
      </w:r>
      <w:r>
        <w:rPr>
          <w:rFonts w:hint="default" w:ascii="Times New Roman" w:hAnsi="Times New Roman" w:cs="Times New Roman"/>
        </w:rPr>
        <w:t>基金按统一标准进行征集。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w:t>
      </w:r>
      <w:r>
        <w:rPr>
          <w:rFonts w:hint="default" w:ascii="Times New Roman" w:hAnsi="Times New Roman" w:cs="Times New Roman"/>
        </w:rPr>
        <w:t>、</w:t>
      </w:r>
      <w:bookmarkEnd w:id="0"/>
      <w:r>
        <w:rPr>
          <w:rFonts w:hint="default" w:ascii="Times New Roman" w:hAnsi="Times New Roman" w:eastAsia="黑体" w:cs="Times New Roman"/>
        </w:rPr>
        <w:t>专项基金管理人申报条件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bookmarkStart w:id="1" w:name="_Toc27632_WPSOffice_Level1"/>
      <w:r>
        <w:rPr>
          <w:rFonts w:hint="default" w:ascii="Times New Roman" w:hAnsi="Times New Roman" w:eastAsia="楷体_GB2312" w:cs="Times New Roman"/>
        </w:rPr>
        <w:t>（一）申报要求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1.管理机构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管理机构应为依法设立且取得中国证券投资基金业协会私募基金管理人资质；管理机构或其关联单位在贵州省内设有总部或办事机构；原则上实收资本不低于1000万元人民币；未被中国证券投资基金业协会列为异常机构且不存在不良诚信记录等情形，最近三年不存在重大违法违规行为，并符合其他法律法规规定的相关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2.管理团队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至少有3名具备3年以上股权投资经验或相关行业经验的高级管理人员，并有与所申报专项基金规模相匹配的专属管理团队，且熟悉申报专项基金投资领域相关产业及行业情况；有成功募资到位3亿元以上的既往业绩；高级管理人员最近3年无重大违法行为，未有受过行政主管机关或司法机关处罚的不良记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3.投资能力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管理团队具备良好的投资能力，至少有3个股权投资成功案例，1个及以上成功退出案例。管理机构原则上平行出资不低于专项基金认缴规模的1%。</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4.募资能力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管理人具有较强募资能力，向社会募资比例原则上不低于专项基金设立规模的40%，基金存续期限不得低于5年，专项基金在项目端投资比例原则上不超过项目总投的25%，对单一企业股权投资占比原则上不超过投资后该企业总股权的50%。专项基金管理人至少需联合1家具有基金托管资格的银行为专项基金投资项目建设和营运提供融资支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5.风险控制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应有完善的风险管理体系，管理和投资运作规范，具有完整的投资决策程序、全面的风险控制机制和健全的财务管理制度。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（二）申报材料</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bookmarkStart w:id="2" w:name="_Toc27583_WPSOffice_Level1"/>
      <w:r>
        <w:rPr>
          <w:rFonts w:hint="default" w:ascii="Times New Roman" w:hAnsi="Times New Roman" w:cs="Times New Roman"/>
        </w:rPr>
        <w:t>申报材料包括但不限于以下材料（纸质版四套，并提供电子版），并按照顺序编排目录和页码装订成册，加盖相关单位印章。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1.拟申请设立的参股投资专项基金申请书（</w:t>
      </w:r>
      <w:r>
        <w:rPr>
          <w:rFonts w:hint="default" w:ascii="Times New Roman" w:hAnsi="Times New Roman" w:eastAsia="楷体_GB2312" w:cs="Times New Roman"/>
        </w:rPr>
        <w:t>详见附件1</w:t>
      </w:r>
      <w:r>
        <w:rPr>
          <w:rFonts w:hint="default" w:ascii="Times New Roman" w:hAnsi="Times New Roman" w:cs="Times New Roman"/>
        </w:rPr>
        <w:t>）。专项基金申请书包含整体构架、资金募集、管理人情况、管理团队、投资策略、投资计划、决策机制、投后管理、退出机制、风险防范措施等基本内容，并提供相关附件。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申报人资格文件。行业主管部门颁发的相关资质证书、管理基金总规模不低于3亿元的基金产品的相关证明、核心管理团队不少于3名具备3年以上股权投资或相关投资经验的专职高级管理人员简历、社保记录、近三年内无司法机关和行业行政主管机关处罚等不良记录的承诺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3.募资能力证明。拟募集的资金数额（不低于专项基金设立规模的40%），需提供相应投资人出资和拟作为托管银行的承诺函。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4.其他证明申报人资质及实力的文件、证书及承诺等。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5.《专项基金出资承诺函》（</w:t>
      </w:r>
      <w:r>
        <w:rPr>
          <w:rFonts w:hint="default" w:ascii="Times New Roman" w:hAnsi="Times New Roman" w:eastAsia="楷体_GB2312" w:cs="Times New Roman"/>
        </w:rPr>
        <w:t>详见附件2）</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6.《专项基金托管行承诺函》（</w:t>
      </w:r>
      <w:r>
        <w:rPr>
          <w:rFonts w:hint="default" w:ascii="Times New Roman" w:hAnsi="Times New Roman" w:eastAsia="楷体_GB2312" w:cs="Times New Roman"/>
        </w:rPr>
        <w:t>详见附件3</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7.申请人真实性承诺函（</w:t>
      </w:r>
      <w:r>
        <w:rPr>
          <w:rFonts w:hint="default" w:ascii="Times New Roman" w:hAnsi="Times New Roman" w:eastAsia="楷体_GB2312" w:cs="Times New Roman"/>
        </w:rPr>
        <w:t>详见附件4</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8.需提供相关材料的清单（</w:t>
      </w:r>
      <w:r>
        <w:rPr>
          <w:rFonts w:hint="default" w:ascii="Times New Roman" w:hAnsi="Times New Roman" w:eastAsia="楷体_GB2312" w:cs="Times New Roman"/>
        </w:rPr>
        <w:t>详见附件5</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eastAsia" w:cs="Times New Roman"/>
          <w:lang w:val="en-US" w:eastAsia="zh-CN"/>
        </w:rPr>
        <w:t>9</w:t>
      </w:r>
      <w:r>
        <w:rPr>
          <w:rFonts w:hint="default" w:ascii="Times New Roman" w:hAnsi="Times New Roman" w:cs="Times New Roman"/>
        </w:rPr>
        <w:t>.</w:t>
      </w:r>
      <w:r>
        <w:rPr>
          <w:rFonts w:hint="default" w:hAnsi="Times New Roman" w:cs="Times New Roman"/>
          <w:bCs w:val="0"/>
          <w:szCs w:val="32"/>
          <w:lang w:val="en-US" w:eastAsia="zh-CN"/>
        </w:rPr>
        <w:t>廉政建设告知书</w:t>
      </w:r>
      <w:r>
        <w:rPr>
          <w:rFonts w:hint="default" w:ascii="Times New Roman" w:hAnsi="Times New Roman" w:cs="Times New Roman"/>
        </w:rPr>
        <w:t>（</w:t>
      </w:r>
      <w:r>
        <w:rPr>
          <w:rFonts w:hint="default" w:ascii="Times New Roman" w:hAnsi="Times New Roman" w:eastAsia="楷体_GB2312" w:cs="Times New Roman"/>
        </w:rPr>
        <w:t>详见附件</w:t>
      </w:r>
      <w:r>
        <w:rPr>
          <w:rFonts w:hint="eastAsia" w:eastAsia="楷体_GB2312" w:cs="Times New Roman"/>
          <w:lang w:val="en-US" w:eastAsia="zh-CN"/>
        </w:rPr>
        <w:t>6</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w:t>
      </w:r>
      <w:r>
        <w:rPr>
          <w:rFonts w:hint="default" w:ascii="Times New Roman" w:hAnsi="Times New Roman" w:cs="Times New Roman"/>
        </w:rPr>
        <w:t>、</w:t>
      </w:r>
      <w:r>
        <w:rPr>
          <w:rFonts w:hint="default" w:ascii="Times New Roman" w:hAnsi="Times New Roman" w:eastAsia="黑体" w:cs="Times New Roman"/>
        </w:rPr>
        <w:t>评分方法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未满足申报条件的申请人不再继续参加以下环节的评分；满足申报条件的获得基础分60分；以下指标在基础分上进行加减，并计算最终得分：</w:t>
      </w:r>
    </w:p>
    <w:tbl>
      <w:tblPr>
        <w:tblStyle w:val="6"/>
        <w:tblW w:w="8844" w:type="dxa"/>
        <w:jc w:val="center"/>
        <w:tblLayout w:type="fixed"/>
        <w:tblCellMar>
          <w:top w:w="0" w:type="dxa"/>
          <w:left w:w="0" w:type="dxa"/>
          <w:bottom w:w="0" w:type="dxa"/>
          <w:right w:w="0" w:type="dxa"/>
        </w:tblCellMar>
      </w:tblPr>
      <w:tblGrid>
        <w:gridCol w:w="684"/>
        <w:gridCol w:w="2306"/>
        <w:gridCol w:w="3664"/>
        <w:gridCol w:w="1200"/>
        <w:gridCol w:w="990"/>
      </w:tblGrid>
      <w:tr>
        <w:tblPrEx>
          <w:tblCellMar>
            <w:top w:w="0" w:type="dxa"/>
            <w:left w:w="0" w:type="dxa"/>
            <w:bottom w:w="0" w:type="dxa"/>
            <w:right w:w="0" w:type="dxa"/>
          </w:tblCellMar>
        </w:tblPrEx>
        <w:trPr>
          <w:trHeight w:val="559"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具体指标</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评审标准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最高加分</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备注</w:t>
            </w:r>
          </w:p>
        </w:tc>
      </w:tr>
      <w:tr>
        <w:tblPrEx>
          <w:tblCellMar>
            <w:top w:w="0" w:type="dxa"/>
            <w:left w:w="0" w:type="dxa"/>
            <w:bottom w:w="0" w:type="dxa"/>
            <w:right w:w="0" w:type="dxa"/>
          </w:tblCellMar>
        </w:tblPrEx>
        <w:trPr>
          <w:trHeight w:val="103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募资比例</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募集社会资本占专项基金总规模比例超过40%的可加分，每增加1个百分点加0.25分。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15</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r>
      <w:tr>
        <w:tblPrEx>
          <w:tblCellMar>
            <w:top w:w="0" w:type="dxa"/>
            <w:left w:w="0" w:type="dxa"/>
            <w:bottom w:w="0" w:type="dxa"/>
            <w:right w:w="0" w:type="dxa"/>
          </w:tblCellMar>
        </w:tblPrEx>
        <w:trPr>
          <w:trHeight w:val="136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募资成本</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募资成本以4.65%作为基准值、得8分，降低或提高0.01个百分点增加或减少0.03分。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11</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仿宋_GB2312" w:cs="Times New Roman"/>
                <w:bCs/>
                <w:sz w:val="28"/>
                <w:szCs w:val="28"/>
              </w:rPr>
            </w:pPr>
          </w:p>
        </w:tc>
      </w:tr>
      <w:tr>
        <w:tblPrEx>
          <w:tblCellMar>
            <w:top w:w="0" w:type="dxa"/>
            <w:left w:w="0" w:type="dxa"/>
            <w:bottom w:w="0" w:type="dxa"/>
            <w:right w:w="0" w:type="dxa"/>
          </w:tblCellMar>
        </w:tblPrEx>
        <w:trPr>
          <w:trHeight w:val="559"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基金存续期限</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存续期超过5年的，每增加1年加0.8分。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r>
      <w:tr>
        <w:tblPrEx>
          <w:tblCellMar>
            <w:top w:w="0" w:type="dxa"/>
            <w:left w:w="0" w:type="dxa"/>
            <w:bottom w:w="0" w:type="dxa"/>
            <w:right w:w="0" w:type="dxa"/>
          </w:tblCellMar>
        </w:tblPrEx>
        <w:trPr>
          <w:trHeight w:val="1100"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带动社会资本投入</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专项基金在项目端投资比例超过项目总投的25%的不得分，每减少一个百分点，加0.2分。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r>
      <w:tr>
        <w:tblPrEx>
          <w:tblCellMar>
            <w:top w:w="0" w:type="dxa"/>
            <w:left w:w="0" w:type="dxa"/>
            <w:bottom w:w="0" w:type="dxa"/>
            <w:right w:w="0" w:type="dxa"/>
          </w:tblCellMar>
        </w:tblPrEx>
        <w:trPr>
          <w:trHeight w:val="1295"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项目储备</w:t>
            </w: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储备项目中，基金拟投资金额超过其管理专项基金设立规模的20%可加分，每增加1个百分点加0.05分,最高加1分</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r>
      <w:tr>
        <w:tblPrEx>
          <w:tblCellMar>
            <w:top w:w="0" w:type="dxa"/>
            <w:left w:w="0" w:type="dxa"/>
            <w:bottom w:w="0" w:type="dxa"/>
            <w:right w:w="0" w:type="dxa"/>
          </w:tblCellMar>
        </w:tblPrEx>
        <w:trPr>
          <w:trHeight w:val="531"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c>
          <w:tcPr>
            <w:tcW w:w="23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Cs/>
                <w:sz w:val="28"/>
                <w:szCs w:val="28"/>
              </w:rPr>
            </w:pPr>
          </w:p>
        </w:tc>
        <w:tc>
          <w:tcPr>
            <w:tcW w:w="3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合计</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b/>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w:t>
      </w:r>
      <w:r>
        <w:rPr>
          <w:rFonts w:hint="default" w:ascii="Times New Roman" w:hAnsi="Times New Roman" w:cs="Times New Roman"/>
        </w:rPr>
        <w:t>、</w:t>
      </w:r>
      <w:r>
        <w:rPr>
          <w:rFonts w:hint="default" w:ascii="Times New Roman" w:hAnsi="Times New Roman" w:eastAsia="黑体" w:cs="Times New Roman"/>
        </w:rPr>
        <w:t>工作程序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（一）公开征集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可通过贵州省</w:t>
      </w:r>
      <w:r>
        <w:rPr>
          <w:rFonts w:hint="eastAsia" w:cs="Times New Roman"/>
          <w:lang w:val="en-US" w:eastAsia="zh-CN"/>
        </w:rPr>
        <w:t>体育局</w:t>
      </w:r>
      <w:r>
        <w:rPr>
          <w:rFonts w:hint="default" w:ascii="Times New Roman" w:hAnsi="Times New Roman" w:cs="Times New Roman"/>
        </w:rPr>
        <w:t>的政府网站发布招募公告，符合条件的管理人可按照规定标准和程序申报。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（二）方案初审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贵州省</w:t>
      </w:r>
      <w:r>
        <w:rPr>
          <w:rFonts w:hint="eastAsia" w:cs="Times New Roman"/>
          <w:lang w:val="en-US" w:eastAsia="zh-CN"/>
        </w:rPr>
        <w:t>体育局</w:t>
      </w:r>
      <w:r>
        <w:rPr>
          <w:rFonts w:hint="default" w:ascii="Times New Roman" w:hAnsi="Times New Roman" w:cs="Times New Roman"/>
        </w:rPr>
        <w:t>对申报的基金方案，从材料完整性、内容全面性、方案可行性等方面进行初步审核，排除不符合申报条件的申报方案。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（三）尽职调查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由</w:t>
      </w:r>
      <w:r>
        <w:rPr>
          <w:rFonts w:hint="eastAsia" w:cs="Times New Roman"/>
          <w:lang w:eastAsia="zh-CN"/>
        </w:rPr>
        <w:t>文旅</w:t>
      </w:r>
      <w:r>
        <w:rPr>
          <w:rFonts w:hint="default" w:ascii="Times New Roman" w:hAnsi="Times New Roman" w:cs="Times New Roman"/>
        </w:rPr>
        <w:t>基金管理人负责对初审通过的申报方案进行尽职调查并出具尽职调查报告。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（四）评审及投决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eastAsia" w:ascii="Times New Roman" w:hAnsi="Times New Roman" w:cs="Times New Roman"/>
          <w:lang w:eastAsia="zh-CN"/>
        </w:rPr>
        <w:t>文旅</w:t>
      </w:r>
      <w:r>
        <w:rPr>
          <w:rFonts w:hint="default" w:ascii="Times New Roman" w:hAnsi="Times New Roman" w:cs="Times New Roman"/>
        </w:rPr>
        <w:t>基金投资决策委员会根据</w:t>
      </w:r>
      <w:r>
        <w:rPr>
          <w:rFonts w:hint="eastAsia" w:ascii="Times New Roman" w:hAnsi="Times New Roman" w:cs="Times New Roman"/>
          <w:lang w:eastAsia="zh-CN"/>
        </w:rPr>
        <w:t>文旅</w:t>
      </w:r>
      <w:r>
        <w:rPr>
          <w:rFonts w:hint="default" w:ascii="Times New Roman" w:hAnsi="Times New Roman" w:cs="Times New Roman"/>
        </w:rPr>
        <w:t>基金管理人提交的尽职调查报告等进行评审及投资决策。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（五）结果公告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评审结果通过原申报渠道进行公告。</w:t>
      </w:r>
    </w:p>
    <w:bookmarkEnd w:id="2"/>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附件：1.贵州省</w:t>
      </w:r>
      <w:r>
        <w:rPr>
          <w:rFonts w:hint="eastAsia" w:ascii="Times New Roman" w:hAnsi="Times New Roman" w:cs="Times New Roman"/>
          <w:lang w:eastAsia="zh-CN"/>
        </w:rPr>
        <w:t>体旅融合产业专项</w:t>
      </w:r>
      <w:r>
        <w:rPr>
          <w:rFonts w:hint="default" w:ascii="Times New Roman" w:hAnsi="Times New Roman" w:cs="Times New Roman"/>
        </w:rPr>
        <w:t>基金设立申请书</w:t>
      </w:r>
    </w:p>
    <w:p>
      <w:pPr>
        <w:keepNext w:val="0"/>
        <w:keepLines w:val="0"/>
        <w:pageBreakBefore w:val="0"/>
        <w:widowControl w:val="0"/>
        <w:kinsoku/>
        <w:wordWrap/>
        <w:overflowPunct/>
        <w:topLinePunct w:val="0"/>
        <w:autoSpaceDE/>
        <w:autoSpaceDN/>
        <w:bidi w:val="0"/>
        <w:adjustRightInd/>
        <w:snapToGrid/>
        <w:spacing w:line="600" w:lineRule="exact"/>
        <w:ind w:left="1580" w:leftChars="500" w:firstLine="0" w:firstLineChars="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w w:val="94"/>
        </w:rPr>
        <w:t>贵</w:t>
      </w:r>
      <w:r>
        <w:rPr>
          <w:rFonts w:hint="default" w:ascii="Times New Roman" w:hAnsi="Times New Roman" w:cs="Times New Roman"/>
        </w:rPr>
        <w:t>州省</w:t>
      </w:r>
      <w:r>
        <w:rPr>
          <w:rFonts w:hint="eastAsia" w:ascii="Times New Roman" w:hAnsi="Times New Roman" w:cs="Times New Roman"/>
          <w:lang w:eastAsia="zh-CN"/>
        </w:rPr>
        <w:t>体旅融合产业专项</w:t>
      </w:r>
      <w:r>
        <w:rPr>
          <w:rFonts w:hint="default" w:ascii="Times New Roman" w:hAnsi="Times New Roman" w:cs="Times New Roman"/>
        </w:rPr>
        <w:t>基金出资承</w:t>
      </w:r>
      <w:r>
        <w:rPr>
          <w:rFonts w:hint="default" w:ascii="Times New Roman" w:hAnsi="Times New Roman" w:cs="Times New Roman"/>
          <w:w w:val="94"/>
        </w:rPr>
        <w:t>诺函</w:t>
      </w:r>
    </w:p>
    <w:p>
      <w:pPr>
        <w:keepNext w:val="0"/>
        <w:keepLines w:val="0"/>
        <w:pageBreakBefore w:val="0"/>
        <w:widowControl w:val="0"/>
        <w:kinsoku/>
        <w:wordWrap/>
        <w:overflowPunct/>
        <w:topLinePunct w:val="0"/>
        <w:autoSpaceDE/>
        <w:autoSpaceDN/>
        <w:bidi w:val="0"/>
        <w:adjustRightInd/>
        <w:snapToGrid/>
        <w:spacing w:line="600" w:lineRule="exact"/>
        <w:ind w:left="1580" w:leftChars="500" w:firstLine="0" w:firstLineChars="0"/>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w w:val="98"/>
        </w:rPr>
        <w:t>贵州</w:t>
      </w:r>
      <w:r>
        <w:rPr>
          <w:rFonts w:hint="default" w:ascii="Times New Roman" w:hAnsi="Times New Roman" w:cs="Times New Roman"/>
        </w:rPr>
        <w:t>省</w:t>
      </w:r>
      <w:r>
        <w:rPr>
          <w:rFonts w:hint="eastAsia" w:ascii="Times New Roman" w:hAnsi="Times New Roman" w:cs="Times New Roman"/>
          <w:lang w:eastAsia="zh-CN"/>
        </w:rPr>
        <w:t>体旅融合产业专项</w:t>
      </w:r>
      <w:r>
        <w:rPr>
          <w:rFonts w:hint="default" w:ascii="Times New Roman" w:hAnsi="Times New Roman" w:cs="Times New Roman"/>
        </w:rPr>
        <w:t>基金托</w:t>
      </w:r>
      <w:r>
        <w:rPr>
          <w:rFonts w:hint="default" w:ascii="Times New Roman" w:hAnsi="Times New Roman" w:cs="Times New Roman"/>
          <w:w w:val="98"/>
        </w:rPr>
        <w:t>管行承诺函</w:t>
      </w:r>
    </w:p>
    <w:p>
      <w:pPr>
        <w:keepNext w:val="0"/>
        <w:keepLines w:val="0"/>
        <w:pageBreakBefore w:val="0"/>
        <w:widowControl w:val="0"/>
        <w:kinsoku/>
        <w:wordWrap/>
        <w:overflowPunct/>
        <w:topLinePunct w:val="0"/>
        <w:autoSpaceDE/>
        <w:autoSpaceDN/>
        <w:bidi w:val="0"/>
        <w:adjustRightInd/>
        <w:snapToGrid/>
        <w:spacing w:line="600" w:lineRule="exact"/>
        <w:ind w:left="1580" w:leftChars="500" w:firstLine="0" w:firstLineChars="0"/>
        <w:textAlignment w:val="auto"/>
        <w:rPr>
          <w:rFonts w:hint="default" w:ascii="Times New Roman" w:hAnsi="Times New Roman" w:cs="Times New Roman"/>
        </w:rPr>
      </w:pPr>
      <w:r>
        <w:rPr>
          <w:rFonts w:hint="default" w:ascii="Times New Roman" w:hAnsi="Times New Roman" w:cs="Times New Roman"/>
        </w:rPr>
        <w:t>4.申请人真实性承诺函</w:t>
      </w:r>
    </w:p>
    <w:p>
      <w:pPr>
        <w:keepNext w:val="0"/>
        <w:keepLines w:val="0"/>
        <w:pageBreakBefore w:val="0"/>
        <w:widowControl w:val="0"/>
        <w:kinsoku/>
        <w:wordWrap/>
        <w:overflowPunct/>
        <w:topLinePunct w:val="0"/>
        <w:autoSpaceDE/>
        <w:autoSpaceDN/>
        <w:bidi w:val="0"/>
        <w:adjustRightInd/>
        <w:snapToGrid/>
        <w:spacing w:line="600" w:lineRule="exact"/>
        <w:ind w:left="1580" w:leftChars="500" w:firstLine="0" w:firstLineChars="0"/>
        <w:textAlignment w:val="auto"/>
        <w:rPr>
          <w:rFonts w:hint="default" w:ascii="Times New Roman" w:hAnsi="Times New Roman" w:cs="Times New Roman"/>
        </w:rPr>
      </w:pPr>
      <w:r>
        <w:rPr>
          <w:rFonts w:hint="default" w:ascii="Times New Roman" w:hAnsi="Times New Roman" w:cs="Times New Roman"/>
        </w:rPr>
        <w:t>5.需提供相关材料的清单</w:t>
      </w:r>
    </w:p>
    <w:p>
      <w:pPr>
        <w:keepNext w:val="0"/>
        <w:keepLines w:val="0"/>
        <w:pageBreakBefore w:val="0"/>
        <w:widowControl w:val="0"/>
        <w:kinsoku/>
        <w:wordWrap/>
        <w:overflowPunct/>
        <w:topLinePunct w:val="0"/>
        <w:autoSpaceDE/>
        <w:autoSpaceDN/>
        <w:bidi w:val="0"/>
        <w:adjustRightInd/>
        <w:snapToGrid/>
        <w:spacing w:line="600" w:lineRule="exact"/>
        <w:ind w:left="1580" w:leftChars="500" w:firstLine="0" w:firstLineChars="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.廉政建设告知书</w:t>
      </w:r>
      <w:r>
        <w:rPr>
          <w:rFonts w:hint="default" w:ascii="Times New Roman" w:hAnsi="Times New Roman" w:cs="Times New Roman"/>
        </w:rPr>
        <w:br w:type="page"/>
      </w:r>
    </w:p>
    <w:p>
      <w:pPr>
        <w:rPr>
          <w:rFonts w:hint="default" w:ascii="Times New Roman" w:hAnsi="Times New Roman" w:eastAsia="黑体" w:cs="Times New Roman"/>
        </w:rPr>
      </w:pPr>
      <w:r>
        <w:rPr>
          <w:rFonts w:hint="default" w:ascii="Times New Roman" w:hAnsi="Times New Roman" w:eastAsia="黑体" w:cs="Times New Roma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3" w:name="_Toc14174_WPSOffice_Level1"/>
      <w:r>
        <w:rPr>
          <w:rFonts w:hint="default" w:ascii="Times New Roman" w:hAnsi="Times New Roman" w:eastAsia="方正小标宋简体" w:cs="Times New Roman"/>
          <w:sz w:val="44"/>
          <w:szCs w:val="44"/>
        </w:rPr>
        <w:t>贵州省</w:t>
      </w:r>
      <w:r>
        <w:rPr>
          <w:rFonts w:hint="eastAsia" w:eastAsia="方正小标宋简体" w:cs="Times New Roman"/>
          <w:sz w:val="44"/>
          <w:szCs w:val="44"/>
          <w:lang w:eastAsia="zh-CN"/>
        </w:rPr>
        <w:t>体旅融合产业专项</w:t>
      </w:r>
      <w:r>
        <w:rPr>
          <w:rFonts w:hint="default" w:ascii="Times New Roman" w:hAnsi="Times New Roman" w:eastAsia="方正小标宋简体" w:cs="Times New Roman"/>
          <w:sz w:val="44"/>
          <w:szCs w:val="44"/>
        </w:rPr>
        <w:t>基金设立申请</w:t>
      </w:r>
      <w:bookmarkEnd w:id="3"/>
      <w:r>
        <w:rPr>
          <w:rFonts w:hint="default" w:ascii="Times New Roman" w:hAnsi="Times New Roman" w:eastAsia="方正小标宋简体" w:cs="Times New Roman"/>
          <w:sz w:val="44"/>
          <w:szCs w:val="44"/>
        </w:rPr>
        <w:t>书</w:t>
      </w:r>
    </w:p>
    <w:p>
      <w:pPr>
        <w:jc w:val="right"/>
        <w:rPr>
          <w:rFonts w:hint="default" w:ascii="Times New Roman" w:hAnsi="Times New Roman" w:cs="Times New Roman"/>
        </w:rPr>
      </w:pPr>
      <w:bookmarkStart w:id="4" w:name="_Toc20658_WPSOffice_Level1"/>
      <w:r>
        <w:rPr>
          <w:rFonts w:hint="default" w:ascii="Times New Roman" w:hAnsi="Times New Roman" w:cs="Times New Roman"/>
        </w:rPr>
        <w:t>（公章）</w:t>
      </w:r>
      <w:bookmarkEnd w:id="4"/>
    </w:p>
    <w:tbl>
      <w:tblPr>
        <w:tblStyle w:val="6"/>
        <w:tblpPr w:leftFromText="180" w:rightFromText="180" w:vertAnchor="text" w:tblpXSpec="center" w:tblpY="1"/>
        <w:tblOverlap w:val="never"/>
        <w:tblW w:w="9760" w:type="dxa"/>
        <w:jc w:val="center"/>
        <w:shd w:val="clear" w:color="auto" w:fill="FFFFFF"/>
        <w:tblLayout w:type="fixed"/>
        <w:tblCellMar>
          <w:top w:w="15" w:type="dxa"/>
          <w:left w:w="15" w:type="dxa"/>
          <w:bottom w:w="15" w:type="dxa"/>
          <w:right w:w="15" w:type="dxa"/>
        </w:tblCellMar>
      </w:tblPr>
      <w:tblGrid>
        <w:gridCol w:w="1234"/>
        <w:gridCol w:w="1759"/>
        <w:gridCol w:w="1750"/>
        <w:gridCol w:w="3480"/>
        <w:gridCol w:w="1537"/>
      </w:tblGrid>
      <w:tr>
        <w:tblPrEx>
          <w:shd w:val="clear" w:color="auto" w:fill="FFFFFF"/>
          <w:tblCellMar>
            <w:top w:w="15" w:type="dxa"/>
            <w:left w:w="15" w:type="dxa"/>
            <w:bottom w:w="15" w:type="dxa"/>
            <w:right w:w="15" w:type="dxa"/>
          </w:tblCellMar>
        </w:tblPrEx>
        <w:trPr>
          <w:cantSplit/>
          <w:trHeight w:val="90"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r>
              <w:rPr>
                <w:rStyle w:val="8"/>
                <w:rFonts w:hint="default" w:ascii="Times New Roman" w:hAnsi="Times New Roman" w:eastAsia="黑体" w:cs="Times New Roman"/>
                <w:b w:val="0"/>
                <w:color w:val="000000" w:themeColor="text1"/>
                <w:sz w:val="28"/>
                <w:szCs w:val="28"/>
                <w14:textFill>
                  <w14:solidFill>
                    <w14:schemeClr w14:val="tx1"/>
                  </w14:solidFill>
                </w14:textFill>
              </w:rPr>
              <w:t>一</w:t>
            </w:r>
            <w:r>
              <w:rPr>
                <w:rStyle w:val="8"/>
                <w:rFonts w:hint="eastAsia" w:ascii="仿宋_GB2312" w:hAnsi="仿宋_GB2312" w:eastAsia="仿宋_GB2312" w:cs="仿宋_GB2312"/>
                <w:b w:val="0"/>
                <w:color w:val="000000" w:themeColor="text1"/>
                <w:sz w:val="28"/>
                <w:szCs w:val="28"/>
                <w14:textFill>
                  <w14:solidFill>
                    <w14:schemeClr w14:val="tx1"/>
                  </w14:solidFill>
                </w14:textFill>
              </w:rPr>
              <w:t>、</w:t>
            </w:r>
            <w:r>
              <w:rPr>
                <w:rStyle w:val="8"/>
                <w:rFonts w:hint="default" w:ascii="Times New Roman" w:hAnsi="Times New Roman" w:eastAsia="黑体" w:cs="Times New Roman"/>
                <w:b w:val="0"/>
                <w:color w:val="000000" w:themeColor="text1"/>
                <w:sz w:val="28"/>
                <w:szCs w:val="28"/>
                <w14:textFill>
                  <w14:solidFill>
                    <w14:schemeClr w14:val="tx1"/>
                  </w14:solidFill>
                </w14:textFill>
              </w:rPr>
              <w:t>申请机构</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机构名称</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注册地址</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管理人登记备案号</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注册资本/认缴出资总额</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万元</w:t>
            </w: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万元</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管理基金认缴规模</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在投项目数</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退出项目数</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r>
      <w:tr>
        <w:tblPrEx>
          <w:shd w:val="clear" w:color="auto" w:fill="FFFFFF"/>
          <w:tblCellMar>
            <w:top w:w="15" w:type="dxa"/>
            <w:left w:w="15" w:type="dxa"/>
            <w:bottom w:w="15" w:type="dxa"/>
            <w:right w:w="15" w:type="dxa"/>
          </w:tblCellMar>
        </w:tblPrEx>
        <w:trPr>
          <w:cantSplit/>
          <w:trHeight w:val="90" w:hRule="atLeast"/>
          <w:jc w:val="center"/>
        </w:trPr>
        <w:tc>
          <w:tcPr>
            <w:tcW w:w="1234" w:type="dxa"/>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联系人</w:t>
            </w:r>
          </w:p>
        </w:tc>
        <w:tc>
          <w:tcPr>
            <w:tcW w:w="175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姓名</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75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办公电话</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75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传真</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75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通信地址</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Style w:val="8"/>
                <w:rFonts w:hint="default" w:ascii="Times New Roman" w:hAnsi="Times New Roman" w:eastAsia="黑体" w:cs="Times New Roman"/>
                <w:b w:val="0"/>
                <w:color w:val="000000" w:themeColor="text1"/>
                <w:sz w:val="28"/>
                <w:szCs w:val="28"/>
                <w14:textFill>
                  <w14:solidFill>
                    <w14:schemeClr w14:val="tx1"/>
                  </w14:solidFill>
                </w14:textFill>
              </w:rPr>
              <w:t>二</w:t>
            </w:r>
            <w:r>
              <w:rPr>
                <w:rStyle w:val="8"/>
                <w:rFonts w:hint="default" w:ascii="仿宋_GB2312" w:hAnsi="仿宋_GB2312" w:eastAsia="仿宋_GB2312" w:cs="仿宋_GB2312"/>
                <w:b w:val="0"/>
                <w:color w:val="000000" w:themeColor="text1"/>
                <w:sz w:val="28"/>
                <w:szCs w:val="28"/>
                <w14:textFill>
                  <w14:solidFill>
                    <w14:schemeClr w14:val="tx1"/>
                  </w14:solidFill>
                </w14:textFill>
              </w:rPr>
              <w:t>、</w:t>
            </w:r>
            <w:r>
              <w:rPr>
                <w:rStyle w:val="8"/>
                <w:rFonts w:hint="default" w:ascii="Times New Roman" w:hAnsi="Times New Roman" w:eastAsia="黑体" w:cs="Times New Roman"/>
                <w:b w:val="0"/>
                <w:color w:val="000000" w:themeColor="text1"/>
                <w:sz w:val="28"/>
                <w:szCs w:val="28"/>
                <w:lang w:eastAsia="zh-CN"/>
                <w14:textFill>
                  <w14:solidFill>
                    <w14:schemeClr w14:val="tx1"/>
                  </w14:solidFill>
                </w14:textFill>
              </w:rPr>
              <w:t>专项基金</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名称</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注册地址</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投资领域</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专项基金</w:t>
            </w:r>
            <w:r>
              <w:rPr>
                <w:rFonts w:hint="default" w:ascii="Times New Roman" w:hAnsi="Times New Roman" w:eastAsia="仿宋_GB2312" w:cs="Times New Roman"/>
                <w:color w:val="000000" w:themeColor="text1"/>
                <w:sz w:val="28"/>
                <w:szCs w:val="28"/>
                <w14:textFill>
                  <w14:solidFill>
                    <w14:schemeClr w14:val="tx1"/>
                  </w14:solidFill>
                </w14:textFill>
              </w:rPr>
              <w:t>投资方式</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专项基金</w:t>
            </w:r>
            <w:r>
              <w:rPr>
                <w:rFonts w:hint="default" w:ascii="Times New Roman" w:hAnsi="Times New Roman" w:eastAsia="仿宋_GB2312" w:cs="Times New Roman"/>
                <w:color w:val="000000" w:themeColor="text1"/>
                <w:sz w:val="28"/>
                <w:szCs w:val="28"/>
                <w14:textFill>
                  <w14:solidFill>
                    <w14:schemeClr w14:val="tx1"/>
                  </w14:solidFill>
                </w14:textFill>
              </w:rPr>
              <w:t>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亿元</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申请文旅基金金额</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计划募集社会资本金额</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w w:val="90"/>
                <w:sz w:val="28"/>
                <w:szCs w:val="28"/>
                <w:lang w:eastAsia="zh-CN"/>
                <w14:textFill>
                  <w14:solidFill>
                    <w14:schemeClr w14:val="tx1"/>
                  </w14:solidFill>
                </w14:textFill>
              </w:rPr>
              <w:t>专项基金</w:t>
            </w:r>
            <w:r>
              <w:rPr>
                <w:rFonts w:hint="default" w:ascii="Times New Roman" w:hAnsi="Times New Roman" w:eastAsia="仿宋_GB2312" w:cs="Times New Roman"/>
                <w:color w:val="000000" w:themeColor="text1"/>
                <w:w w:val="90"/>
                <w:sz w:val="28"/>
                <w:szCs w:val="28"/>
                <w14:textFill>
                  <w14:solidFill>
                    <w14:schemeClr w14:val="tx1"/>
                  </w14:solidFill>
                </w14:textFill>
              </w:rPr>
              <w:t>管理人出资金额</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亿元</w:t>
            </w: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
        </w:tc>
      </w:tr>
      <w:tr>
        <w:tblPrEx>
          <w:shd w:val="clear" w:color="auto" w:fill="FFFFFF"/>
          <w:tblCellMar>
            <w:top w:w="15" w:type="dxa"/>
            <w:left w:w="15" w:type="dxa"/>
            <w:bottom w:w="15" w:type="dxa"/>
            <w:right w:w="15" w:type="dxa"/>
          </w:tblCellMar>
        </w:tblPrEx>
        <w:trPr>
          <w:cantSplit/>
          <w:trHeight w:val="90" w:hRule="atLeast"/>
          <w:jc w:val="center"/>
        </w:trPr>
        <w:tc>
          <w:tcPr>
            <w:tcW w:w="2993"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预期投资收益率</w:t>
            </w:r>
          </w:p>
        </w:tc>
        <w:tc>
          <w:tcPr>
            <w:tcW w:w="17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348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shd w:val="clear" w:color="auto" w:fill="FFFFFF"/>
          <w:tblCellMar>
            <w:top w:w="15" w:type="dxa"/>
            <w:left w:w="15" w:type="dxa"/>
            <w:bottom w:w="15" w:type="dxa"/>
            <w:right w:w="15" w:type="dxa"/>
          </w:tblCellMar>
        </w:tblPrEx>
        <w:trPr>
          <w:cantSplit/>
          <w:trHeight w:val="90"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Style w:val="8"/>
                <w:rFonts w:hint="default" w:ascii="Times New Roman" w:hAnsi="Times New Roman" w:eastAsia="黑体" w:cs="Times New Roman"/>
                <w:b w:val="0"/>
                <w:color w:val="000000" w:themeColor="text1"/>
                <w:sz w:val="28"/>
                <w:szCs w:val="28"/>
                <w14:textFill>
                  <w14:solidFill>
                    <w14:schemeClr w14:val="tx1"/>
                  </w14:solidFill>
                </w14:textFill>
              </w:rPr>
              <w:t>三</w:t>
            </w:r>
            <w:r>
              <w:rPr>
                <w:rStyle w:val="8"/>
                <w:rFonts w:hint="default" w:ascii="仿宋_GB2312" w:hAnsi="仿宋_GB2312" w:eastAsia="仿宋_GB2312" w:cs="仿宋_GB2312"/>
                <w:b w:val="0"/>
                <w:color w:val="000000" w:themeColor="text1"/>
                <w:sz w:val="28"/>
                <w:szCs w:val="28"/>
                <w14:textFill>
                  <w14:solidFill>
                    <w14:schemeClr w14:val="tx1"/>
                  </w14:solidFill>
                </w14:textFill>
              </w:rPr>
              <w:t>、</w:t>
            </w:r>
            <w:r>
              <w:rPr>
                <w:rStyle w:val="8"/>
                <w:rFonts w:hint="default" w:ascii="Times New Roman" w:hAnsi="Times New Roman" w:eastAsia="黑体" w:cs="Times New Roman"/>
                <w:b w:val="0"/>
                <w:color w:val="000000" w:themeColor="text1"/>
                <w:sz w:val="28"/>
                <w:szCs w:val="28"/>
                <w:lang w:eastAsia="zh-CN"/>
                <w14:textFill>
                  <w14:solidFill>
                    <w14:schemeClr w14:val="tx1"/>
                  </w14:solidFill>
                </w14:textFill>
              </w:rPr>
              <w:t>专项基金</w:t>
            </w:r>
            <w:r>
              <w:rPr>
                <w:rStyle w:val="8"/>
                <w:rFonts w:hint="default" w:ascii="Times New Roman" w:hAnsi="Times New Roman" w:eastAsia="黑体" w:cs="Times New Roman"/>
                <w:b w:val="0"/>
                <w:color w:val="000000" w:themeColor="text1"/>
                <w:sz w:val="28"/>
                <w:szCs w:val="28"/>
                <w14:textFill>
                  <w14:solidFill>
                    <w14:schemeClr w14:val="tx1"/>
                  </w14:solidFill>
                </w14:textFill>
              </w:rPr>
              <w:t>组建方案</w:t>
            </w:r>
          </w:p>
        </w:tc>
      </w:tr>
      <w:tr>
        <w:tblPrEx>
          <w:shd w:val="clear" w:color="auto" w:fill="FFFFFF"/>
          <w:tblCellMar>
            <w:top w:w="15" w:type="dxa"/>
            <w:left w:w="15" w:type="dxa"/>
            <w:bottom w:w="15" w:type="dxa"/>
            <w:right w:w="15" w:type="dxa"/>
          </w:tblCellMar>
        </w:tblPrEx>
        <w:trPr>
          <w:cantSplit/>
          <w:trHeight w:val="649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（一）基本情况</w:t>
            </w:r>
          </w:p>
          <w:p>
            <w:pPr>
              <w:pStyle w:val="5"/>
              <w:keepNext/>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（拟设立</w:t>
            </w:r>
            <w:r>
              <w:rPr>
                <w:rFonts w:hint="default" w:ascii="Times New Roman" w:hAnsi="Times New Roman" w:eastAsia="仿宋_GB2312" w:cs="Times New Roman"/>
                <w:sz w:val="28"/>
                <w:szCs w:val="28"/>
                <w:lang w:eastAsia="zh-CN"/>
              </w:rPr>
              <w:t>专项基金</w:t>
            </w:r>
            <w:r>
              <w:rPr>
                <w:rFonts w:hint="default" w:ascii="Times New Roman" w:hAnsi="Times New Roman" w:eastAsia="仿宋_GB2312" w:cs="Times New Roman"/>
                <w:sz w:val="28"/>
                <w:szCs w:val="28"/>
              </w:rPr>
              <w:t>的基本情况，包括但不限于：名称(暂定)、拟采用的组织架构、基金存续期（包括投资期、回收期）、经营范围、托管银行、主要股东或出资人简要背景。）</w:t>
            </w:r>
          </w:p>
          <w:p>
            <w:pPr>
              <w:keepNext/>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（二）投资策略</w:t>
            </w:r>
          </w:p>
          <w:p>
            <w:pPr>
              <w:pStyle w:val="10"/>
              <w:keepNext/>
              <w:keepLines w:val="0"/>
              <w:pageBreakBefore w:val="0"/>
              <w:widowControl w:val="0"/>
              <w:kinsoku/>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的投资领域（产业）及投资优势。）</w:t>
            </w:r>
          </w:p>
          <w:p>
            <w:pPr>
              <w:keepNext/>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（三）管理费用、收益分配及清算</w:t>
            </w:r>
          </w:p>
          <w:p>
            <w:pPr>
              <w:pStyle w:val="10"/>
              <w:keepNext/>
              <w:keepLines w:val="0"/>
              <w:pageBreakBefore w:val="0"/>
              <w:widowControl w:val="0"/>
              <w:kinsoku/>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（1、存续期不同阶段管理费的计提方法。2、</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的收益分配与亏损承担原则（有限合伙人与普通合伙人之间）。3、清算原则及方法。）</w:t>
            </w:r>
          </w:p>
          <w:p>
            <w:pPr>
              <w:keepNext/>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（四）利益冲突和解决策略</w:t>
            </w:r>
          </w:p>
          <w:p>
            <w:pPr>
              <w:pStyle w:val="10"/>
              <w:keepNext/>
              <w:keepLines w:val="0"/>
              <w:pageBreakBefore w:val="0"/>
              <w:widowControl w:val="0"/>
              <w:kinsoku/>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管理机构其它在管基金的利益冲突和解决方案。2、</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与管理团队个人投资的利益冲突和解决方案。）</w:t>
            </w:r>
          </w:p>
          <w:p>
            <w:pPr>
              <w:keepNext/>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（五）资金募集计划</w:t>
            </w:r>
          </w:p>
          <w:p>
            <w:pPr>
              <w:pStyle w:val="10"/>
              <w:keepNext/>
              <w:keepLines w:val="0"/>
              <w:pageBreakBefore w:val="0"/>
              <w:widowControl w:val="0"/>
              <w:kinsoku/>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募资计划，包括所有承诺出资人或意向出资人的名称、出资额及资金到位时间，如出资人如有特殊投资条款请予以说明，</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管理机构承诺出资情况。）</w:t>
            </w:r>
          </w:p>
          <w:p>
            <w:pPr>
              <w:keepNext/>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（六）储备项目情况</w:t>
            </w:r>
          </w:p>
          <w:p>
            <w:pPr>
              <w:pStyle w:val="10"/>
              <w:keepNext/>
              <w:keepLines w:val="0"/>
              <w:pageBreakBefore w:val="0"/>
              <w:widowControl w:val="0"/>
              <w:kinsoku/>
              <w:overflowPunct/>
              <w:topLinePunct w:val="0"/>
              <w:autoSpaceDE/>
              <w:autoSpaceDN/>
              <w:bidi w:val="0"/>
              <w:adjustRightInd/>
              <w:snapToGrid/>
              <w:spacing w:line="600" w:lineRule="exact"/>
              <w:ind w:firstLine="560"/>
              <w:textAlignment w:val="auto"/>
              <w:rPr>
                <w:rFonts w:hint="default" w:ascii="Times New Roman" w:hAnsi="Times New Roman" w:eastAsia="楷体" w:cs="Times New Roman"/>
                <w:sz w:val="28"/>
                <w:szCs w:val="28"/>
              </w:rPr>
            </w:pPr>
            <w:r>
              <w:rPr>
                <w:rFonts w:hint="default" w:ascii="Times New Roman" w:hAnsi="Times New Roman" w:cs="Times New Roman"/>
                <w:sz w:val="28"/>
                <w:szCs w:val="28"/>
              </w:rPr>
              <w:t>（储备项目基本情况，包括项目来源、企业名称、融资金额、主营业务、企业所处发展阶段、投资亮点等。）</w:t>
            </w:r>
          </w:p>
        </w:tc>
      </w:tr>
      <w:tr>
        <w:tblPrEx>
          <w:shd w:val="clear" w:color="auto" w:fill="FFFFFF"/>
          <w:tblCellMar>
            <w:top w:w="15" w:type="dxa"/>
            <w:left w:w="15" w:type="dxa"/>
            <w:bottom w:w="15" w:type="dxa"/>
            <w:right w:w="15" w:type="dxa"/>
          </w:tblCellMar>
        </w:tblPrEx>
        <w:trPr>
          <w:cantSplit/>
          <w:trHeight w:val="305"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val="0"/>
              <w:pageBreakBefore w:val="0"/>
              <w:widowControl w:val="0"/>
              <w:kinsoku/>
              <w:overflowPunct/>
              <w:topLinePunct w:val="0"/>
              <w:autoSpaceDE/>
              <w:autoSpaceDN/>
              <w:bidi w:val="0"/>
              <w:adjustRightInd/>
              <w:snapToGrid/>
              <w:spacing w:line="400" w:lineRule="exact"/>
              <w:ind w:firstLine="560"/>
              <w:jc w:val="center"/>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四</w:t>
            </w:r>
            <w:r>
              <w:rPr>
                <w:rStyle w:val="8"/>
                <w:rFonts w:hint="default" w:ascii="仿宋_GB2312" w:hAnsi="仿宋_GB2312" w:eastAsia="仿宋_GB2312" w:cs="仿宋_GB2312"/>
                <w:b w:val="0"/>
                <w:color w:val="000000" w:themeColor="text1"/>
                <w:kern w:val="0"/>
                <w:sz w:val="28"/>
                <w:szCs w:val="28"/>
                <w:lang w:val="en-US" w:eastAsia="zh-CN" w:bidi="ar-SA"/>
                <w14:textFill>
                  <w14:solidFill>
                    <w14:schemeClr w14:val="tx1"/>
                  </w14:solidFill>
                </w14:textFill>
              </w:rPr>
              <w:t>、</w:t>
            </w:r>
            <w:r>
              <w:rPr>
                <w:rFonts w:hint="default" w:ascii="Times New Roman" w:hAnsi="Times New Roman" w:eastAsia="黑体" w:cs="Times New Roman"/>
                <w:sz w:val="28"/>
                <w:szCs w:val="28"/>
                <w:lang w:eastAsia="zh-CN"/>
              </w:rPr>
              <w:t>专项基金</w:t>
            </w:r>
            <w:r>
              <w:rPr>
                <w:rFonts w:hint="default" w:ascii="Times New Roman" w:hAnsi="Times New Roman" w:eastAsia="黑体" w:cs="Times New Roman"/>
                <w:sz w:val="28"/>
                <w:szCs w:val="28"/>
              </w:rPr>
              <w:t>管理机构</w:t>
            </w:r>
          </w:p>
        </w:tc>
      </w:tr>
      <w:tr>
        <w:tblPrEx>
          <w:shd w:val="clear" w:color="auto" w:fill="FFFFFF"/>
          <w:tblCellMar>
            <w:top w:w="15" w:type="dxa"/>
            <w:left w:w="15" w:type="dxa"/>
            <w:bottom w:w="15" w:type="dxa"/>
            <w:right w:w="15" w:type="dxa"/>
          </w:tblCellMar>
        </w:tblPrEx>
        <w:trPr>
          <w:cantSplit/>
          <w:trHeight w:val="6637"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(一)</w:t>
            </w:r>
            <w:r>
              <w:rPr>
                <w:rFonts w:hint="default" w:ascii="Times New Roman" w:hAnsi="Times New Roman" w:cs="Times New Roman"/>
                <w:sz w:val="28"/>
                <w:szCs w:val="28"/>
                <w:lang w:eastAsia="zh-CN"/>
              </w:rPr>
              <w:t>专项基金</w:t>
            </w:r>
            <w:r>
              <w:rPr>
                <w:rFonts w:hint="default" w:ascii="Times New Roman" w:hAnsi="Times New Roman" w:cs="Times New Roman"/>
                <w:sz w:val="28"/>
                <w:szCs w:val="28"/>
              </w:rPr>
              <w:t>管理机构简介</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（包括：历史沿革、股东或出资人构成、组织管理结构、分支机构、主营业务、业绩情况、资质荣誉、专业领域经验和能力等，专业领域是指创业投资或私募股权投资领域。）</w:t>
            </w:r>
          </w:p>
          <w:p>
            <w:pPr>
              <w:keepNext/>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（二）管理团队核心成员</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keepNext/>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（三）管理团队投资业绩</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（1、管理团队管理的其它基金情况：包括基金名称、基金规模、投资领域、投资阶段、投资地域、已完成投资、基金存续期、投资限制、管理费等。</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2、管理的基金投资项目情况（不低于3个成功案例）：包括投资基金名称、投资企业名称、投资金额、股权比例、投资时间、投资时企业状况、目前状况、是否退出、估值或收益情况等。）</w:t>
            </w:r>
          </w:p>
          <w:p>
            <w:pPr>
              <w:keepNext/>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（四）内部管理与决策</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（1、投资管理（项目源开发、投资决策流程及方法，风险控制手段、投后管理及增值服务等）。</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cs="Times New Roman"/>
                <w:sz w:val="28"/>
                <w:szCs w:val="28"/>
              </w:rPr>
            </w:pPr>
            <w:r>
              <w:rPr>
                <w:rFonts w:hint="default" w:ascii="Times New Roman" w:hAnsi="Times New Roman" w:cs="Times New Roman"/>
                <w:sz w:val="28"/>
                <w:szCs w:val="28"/>
              </w:rPr>
              <w:t>2、内部分配机制（管理团队内部如何分配收益等）。</w:t>
            </w:r>
          </w:p>
          <w:p>
            <w:pPr>
              <w:pStyle w:val="10"/>
              <w:keepNext/>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楷体" w:cs="Times New Roman"/>
                <w:sz w:val="28"/>
                <w:szCs w:val="28"/>
              </w:rPr>
            </w:pPr>
            <w:r>
              <w:rPr>
                <w:rFonts w:hint="default" w:ascii="Times New Roman" w:hAnsi="Times New Roman" w:cs="Times New Roman"/>
                <w:sz w:val="28"/>
                <w:szCs w:val="28"/>
              </w:rPr>
              <w:t>3、激励约束机制。）</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hd w:val="clear" w:color="auto" w:fill="FFFFFF"/>
        </w:rPr>
      </w:pPr>
      <w:r>
        <w:rPr>
          <w:rFonts w:hint="default" w:ascii="Times New Roman" w:hAnsi="Times New Roman" w:eastAsia="仿宋_GB2312" w:cs="Times New Roman"/>
          <w:sz w:val="32"/>
          <w:szCs w:val="22"/>
          <w:shd w:val="clear" w:color="auto" w:fill="FFFFFF"/>
          <w:lang w:bidi="ar"/>
        </w:rPr>
        <w:br w:type="page"/>
      </w:r>
      <w:r>
        <w:rPr>
          <w:rFonts w:hint="default" w:ascii="Times New Roman" w:hAnsi="Times New Roman" w:eastAsia="黑体" w:cs="Times New Roman"/>
          <w:sz w:val="32"/>
          <w:szCs w:val="22"/>
          <w:shd w:val="clear" w:color="auto" w:fill="FFFFFF"/>
          <w:lang w:bidi="ar"/>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
        </w:rPr>
      </w:pPr>
      <w:bookmarkStart w:id="5" w:name="_Hlk69929363"/>
      <w:r>
        <w:rPr>
          <w:rFonts w:hint="default" w:ascii="Times New Roman" w:hAnsi="Times New Roman" w:eastAsia="方正小标宋简体" w:cs="Times New Roman"/>
          <w:sz w:val="44"/>
          <w:szCs w:val="44"/>
          <w:lang w:bidi="ar"/>
        </w:rPr>
        <w:t>贵州省</w:t>
      </w:r>
      <w:r>
        <w:rPr>
          <w:rFonts w:hint="eastAsia" w:eastAsia="方正小标宋简体" w:cs="Times New Roman"/>
          <w:sz w:val="44"/>
          <w:szCs w:val="44"/>
          <w:lang w:eastAsia="zh-CN"/>
        </w:rPr>
        <w:t>体旅融合产业专项</w:t>
      </w:r>
      <w:r>
        <w:rPr>
          <w:rFonts w:hint="default" w:ascii="Times New Roman" w:hAnsi="Times New Roman" w:eastAsia="方正小标宋简体" w:cs="Times New Roman"/>
          <w:sz w:val="44"/>
          <w:szCs w:val="44"/>
        </w:rPr>
        <w:t>基金</w:t>
      </w:r>
      <w:r>
        <w:rPr>
          <w:rFonts w:hint="default" w:ascii="Times New Roman" w:hAnsi="Times New Roman" w:eastAsia="方正小标宋简体" w:cs="Times New Roman"/>
          <w:sz w:val="44"/>
          <w:szCs w:val="44"/>
          <w:lang w:bidi="ar"/>
        </w:rPr>
        <w:t>出资承诺函</w:t>
      </w:r>
    </w:p>
    <w:bookmarkEnd w:id="5"/>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Cs w:val="21"/>
        </w:rPr>
      </w:pPr>
      <w:r>
        <w:rPr>
          <w:rFonts w:hint="default" w:ascii="Times New Roman" w:hAnsi="Times New Roman" w:eastAsia="仿宋_GB2312" w:cs="Times New Roman"/>
          <w:sz w:val="32"/>
          <w:szCs w:val="32"/>
          <w:lang w:bidi="ar"/>
        </w:rPr>
        <w:t>贵州省贵鑫瑞和创业投资管理有限责任公司：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bidi="ar"/>
        </w:rPr>
        <w:t>我单位承诺作为投资人，参与XX基金管理公司申请的XX专项基金的发起设立。我单位承诺在XX专项基金中认缴出资XX万元，认缴比例</w:t>
      </w:r>
      <w:r>
        <w:rPr>
          <w:rFonts w:hint="default" w:ascii="Times New Roman" w:hAnsi="Times New Roman" w:cs="Times New Roman"/>
          <w:sz w:val="32"/>
          <w:szCs w:val="32"/>
          <w:lang w:val="en-US" w:eastAsia="zh-CN" w:bidi="ar"/>
        </w:rPr>
        <w:t>XX</w:t>
      </w:r>
      <w:r>
        <w:rPr>
          <w:rFonts w:hint="default" w:ascii="Times New Roman" w:hAnsi="Times New Roman" w:eastAsia="仿宋_GB2312" w:cs="Times New Roman"/>
          <w:sz w:val="32"/>
          <w:szCs w:val="32"/>
          <w:lang w:bidi="ar"/>
        </w:rPr>
        <w:t>%。承诺XX专项基金投资项目时按照认缴出资比例与XX基金（母基金）按比例同步出资（同步出资指先于或与XX基金同日出资）。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bidi="ar"/>
        </w:rPr>
        <w:t>特此承诺。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lang w:bidi="ar"/>
        </w:rPr>
      </w:pPr>
    </w:p>
    <w:p>
      <w:pPr>
        <w:jc w:val="right"/>
        <w:rPr>
          <w:rFonts w:hint="default" w:ascii="Times New Roman" w:hAnsi="Times New Roman" w:cs="Times New Roman"/>
          <w:szCs w:val="32"/>
        </w:rPr>
      </w:pPr>
      <w:r>
        <w:rPr>
          <w:rFonts w:hint="default" w:ascii="Times New Roman" w:hAnsi="Times New Roman" w:eastAsia="仿宋_GB2312" w:cs="Times New Roman"/>
          <w:sz w:val="32"/>
          <w:szCs w:val="32"/>
          <w:lang w:bidi="ar"/>
        </w:rPr>
        <w:t xml:space="preserve">              XX（签盖公章）</w:t>
      </w:r>
    </w:p>
    <w:p>
      <w:pPr>
        <w:jc w:val="right"/>
        <w:rPr>
          <w:rFonts w:hint="default" w:ascii="Times New Roman" w:hAnsi="Times New Roman" w:cs="Times New Roman"/>
          <w:szCs w:val="32"/>
        </w:rPr>
      </w:pPr>
      <w:r>
        <w:rPr>
          <w:rFonts w:hint="default" w:ascii="Times New Roman" w:hAnsi="Times New Roman" w:eastAsia="仿宋_GB2312" w:cs="Times New Roman"/>
          <w:sz w:val="32"/>
          <w:szCs w:val="32"/>
          <w:lang w:bidi="ar"/>
        </w:rPr>
        <w:t xml:space="preserve">              日期：2021年XX月XX日</w:t>
      </w:r>
    </w:p>
    <w:p>
      <w:pPr>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br w:type="page"/>
      </w:r>
    </w:p>
    <w:p>
      <w:pPr>
        <w:widowControl/>
        <w:jc w:val="left"/>
        <w:rPr>
          <w:rFonts w:hint="default" w:ascii="Times New Roman" w:hAnsi="Times New Roman" w:eastAsia="黑体" w:cs="Times New Roman"/>
          <w:color w:val="000000"/>
          <w:sz w:val="32"/>
          <w:szCs w:val="32"/>
          <w:shd w:val="clear" w:color="auto" w:fill="FFFFFF"/>
          <w:lang w:bidi="ar"/>
        </w:rPr>
      </w:pPr>
      <w:r>
        <w:rPr>
          <w:rFonts w:hint="default" w:ascii="Times New Roman" w:hAnsi="Times New Roman" w:eastAsia="黑体" w:cs="Times New Roman"/>
          <w:color w:val="000000"/>
          <w:sz w:val="32"/>
          <w:szCs w:val="32"/>
          <w:shd w:val="clear" w:color="auto" w:fill="FFFFFF"/>
          <w:lang w:bidi="ar"/>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贵州省</w:t>
      </w:r>
      <w:r>
        <w:rPr>
          <w:rFonts w:hint="eastAsia" w:eastAsia="方正小标宋简体" w:cs="Times New Roman"/>
          <w:sz w:val="44"/>
          <w:szCs w:val="44"/>
          <w:lang w:eastAsia="zh-CN"/>
        </w:rPr>
        <w:t>体旅融合产业专项</w:t>
      </w:r>
      <w:r>
        <w:rPr>
          <w:rFonts w:hint="default" w:ascii="Times New Roman" w:hAnsi="Times New Roman" w:eastAsia="方正小标宋简体" w:cs="Times New Roman"/>
          <w:sz w:val="44"/>
          <w:szCs w:val="44"/>
        </w:rPr>
        <w:t>基金</w:t>
      </w:r>
      <w:r>
        <w:rPr>
          <w:rFonts w:hint="default" w:ascii="Times New Roman" w:hAnsi="Times New Roman" w:eastAsia="方正小标宋简体" w:cs="Times New Roman"/>
          <w:sz w:val="44"/>
          <w:szCs w:val="44"/>
          <w:lang w:bidi="ar"/>
        </w:rPr>
        <w:t>托管行承诺函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Cs w:val="21"/>
        </w:rPr>
      </w:pPr>
      <w:r>
        <w:rPr>
          <w:rFonts w:hint="default" w:ascii="Times New Roman" w:hAnsi="Times New Roman" w:eastAsia="仿宋_GB2312" w:cs="Times New Roman"/>
          <w:sz w:val="32"/>
          <w:szCs w:val="32"/>
          <w:lang w:bidi="ar"/>
        </w:rPr>
        <w:t>贵州省贵鑫瑞和创业投资管理有限责任公司：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bidi="ar"/>
        </w:rPr>
        <w:t>我行承诺，参与XX基金管理公司申请的XX基金的发起设立。承诺除XX基金对单个项目的出资部分外，我行及其他社会资本对单个项目的跟投及跟贷投资总金额</w:t>
      </w:r>
      <w:r>
        <w:rPr>
          <w:rFonts w:hint="eastAsia" w:cs="Times New Roman"/>
          <w:sz w:val="32"/>
          <w:szCs w:val="32"/>
          <w:lang w:val="en-US" w:eastAsia="zh-CN" w:bidi="ar"/>
        </w:rPr>
        <w:t>原则上</w:t>
      </w:r>
      <w:r>
        <w:rPr>
          <w:rFonts w:hint="default" w:ascii="Times New Roman" w:hAnsi="Times New Roman" w:eastAsia="仿宋_GB2312" w:cs="Times New Roman"/>
          <w:sz w:val="32"/>
          <w:szCs w:val="32"/>
          <w:lang w:bidi="ar"/>
        </w:rPr>
        <w:t>不低于项目总投入的75%。</w:t>
      </w: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bidi="ar"/>
        </w:rPr>
        <w:t>特此承诺。</w:t>
      </w:r>
    </w:p>
    <w:p>
      <w:pPr>
        <w:jc w:val="right"/>
        <w:rPr>
          <w:rFonts w:hint="default" w:ascii="Times New Roman" w:hAnsi="Times New Roman" w:eastAsia="仿宋_GB2312" w:cs="Times New Roman"/>
          <w:sz w:val="32"/>
          <w:szCs w:val="32"/>
          <w:lang w:bidi="ar"/>
        </w:rPr>
      </w:pPr>
    </w:p>
    <w:p>
      <w:pPr>
        <w:jc w:val="right"/>
        <w:rPr>
          <w:rFonts w:hint="default" w:ascii="Times New Roman" w:hAnsi="Times New Roman" w:eastAsia="仿宋_GB2312" w:cs="Times New Roman"/>
          <w:sz w:val="32"/>
          <w:szCs w:val="32"/>
          <w:lang w:bidi="ar"/>
        </w:rPr>
      </w:pPr>
    </w:p>
    <w:p>
      <w:pPr>
        <w:jc w:val="right"/>
        <w:rPr>
          <w:rFonts w:hint="default" w:ascii="Times New Roman" w:hAnsi="Times New Roman" w:cs="Times New Roman"/>
          <w:szCs w:val="32"/>
        </w:rPr>
      </w:pPr>
      <w:r>
        <w:rPr>
          <w:rFonts w:hint="default" w:ascii="Times New Roman" w:hAnsi="Times New Roman" w:eastAsia="仿宋_GB2312" w:cs="Times New Roman"/>
          <w:sz w:val="32"/>
          <w:szCs w:val="32"/>
          <w:lang w:bidi="ar"/>
        </w:rPr>
        <w:t xml:space="preserve">              XX银行（签盖公章）</w:t>
      </w:r>
    </w:p>
    <w:p>
      <w:pPr>
        <w:jc w:val="right"/>
        <w:rPr>
          <w:rFonts w:hint="default" w:ascii="Times New Roman" w:hAnsi="Times New Roman" w:cs="Times New Roman"/>
          <w:szCs w:val="32"/>
        </w:rPr>
      </w:pPr>
      <w:r>
        <w:rPr>
          <w:rFonts w:hint="default" w:ascii="Times New Roman" w:hAnsi="Times New Roman" w:eastAsia="仿宋_GB2312" w:cs="Times New Roman"/>
          <w:sz w:val="32"/>
          <w:szCs w:val="32"/>
          <w:lang w:bidi="ar"/>
        </w:rPr>
        <w:t xml:space="preserve">              日期：XX年XX月XX日</w:t>
      </w:r>
    </w:p>
    <w:p>
      <w:pPr>
        <w:rPr>
          <w:rStyle w:val="8"/>
          <w:rFonts w:hint="default" w:ascii="Times New Roman" w:hAnsi="Times New Roman" w:eastAsia="黑体" w:cs="Times New Roman"/>
          <w:b w:val="0"/>
          <w:color w:val="444444"/>
          <w:kern w:val="0"/>
          <w:sz w:val="30"/>
          <w:szCs w:val="30"/>
          <w:shd w:val="clear" w:color="auto" w:fill="FFFFFF"/>
        </w:rPr>
      </w:pPr>
      <w:r>
        <w:rPr>
          <w:rFonts w:hint="default" w:ascii="Times New Roman" w:hAnsi="Times New Roman" w:eastAsia="仿宋_GB2312" w:cs="Times New Roman"/>
          <w:sz w:val="32"/>
          <w:szCs w:val="22"/>
          <w:lang w:bidi="ar"/>
        </w:rPr>
        <w:br w:type="page"/>
      </w:r>
      <w:r>
        <w:rPr>
          <w:rStyle w:val="8"/>
          <w:rFonts w:hint="default" w:ascii="Times New Roman" w:hAnsi="Times New Roman" w:eastAsia="黑体" w:cs="Times New Roman"/>
          <w:b w:val="0"/>
          <w:color w:val="444444"/>
          <w:kern w:val="0"/>
          <w:sz w:val="32"/>
          <w:szCs w:val="32"/>
          <w:shd w:val="clear" w:color="auto" w:fill="FFFFFF"/>
        </w:rPr>
        <w:t>附件4</w:t>
      </w:r>
    </w:p>
    <w:p>
      <w:pPr>
        <w:keepNext/>
        <w:wordWrap w:val="0"/>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申请人真实性承诺函</w:t>
      </w:r>
    </w:p>
    <w:p>
      <w:pPr>
        <w:pStyle w:val="11"/>
        <w:ind w:left="420"/>
        <w:rPr>
          <w:rFonts w:hint="default" w:ascii="Times New Roman" w:hAnsi="Times New Roman" w:cs="Times New Roman"/>
        </w:rPr>
      </w:pPr>
    </w:p>
    <w:p>
      <w:pPr>
        <w:keepNext/>
        <w:keepLines w:val="0"/>
        <w:pageBreakBefore w:val="0"/>
        <w:widowControl w:val="0"/>
        <w:kinsoku/>
        <w:wordWrap w:val="0"/>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贵州省贵鑫瑞和创业投资管理有限责任公司：</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本机构目前正在向贵司申请贵州省</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文化旅游产业投资基金</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（以下简称文旅基金）共同参与设立贵州省</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体旅融合产业专项</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基金（以下简称专项基金），现就专项基金申请设立相关事宜，作出以下说明和承诺：</w:t>
      </w:r>
    </w:p>
    <w:p>
      <w:pPr>
        <w:pStyle w:val="2"/>
        <w:keepNext/>
        <w:keepLines w:val="0"/>
        <w:pageBreakBefore w:val="0"/>
        <w:widowControl w:val="0"/>
        <w:kinsoku/>
        <w:wordWrap/>
        <w:overflowPunct/>
        <w:topLinePunct w:val="0"/>
        <w:autoSpaceDE/>
        <w:autoSpaceDN/>
        <w:bidi w:val="0"/>
        <w:adjustRightInd/>
        <w:snapToGrid w:val="0"/>
        <w:spacing w:before="0" w:after="0" w:line="600" w:lineRule="exact"/>
        <w:ind w:firstLine="632" w:firstLineChars="200"/>
        <w:jc w:val="left"/>
        <w:textAlignment w:val="auto"/>
        <w:rPr>
          <w:rFonts w:hint="default" w:ascii="Times New Roman" w:hAnsi="Times New Roman" w:eastAsia="仿宋_GB2312"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一、本机构声明已充分知悉理解《贵州省文化旅游产业投资基金参投子基金申报指南》及基金相关的法律、法规、管理办法等文件的规定，承诺本机构和</w:t>
      </w:r>
      <w:r>
        <w:rPr>
          <w:rFonts w:hint="default" w:ascii="Times New Roman" w:hAnsi="Times New Roman" w:cs="Times New Roman"/>
          <w:b w:val="0"/>
          <w:bCs w:val="0"/>
          <w:color w:val="000000" w:themeColor="text1"/>
          <w:kern w:val="0"/>
          <w:sz w:val="32"/>
          <w:szCs w:val="32"/>
          <w:shd w:val="clear" w:color="auto" w:fill="FFFFFF"/>
          <w:lang w:bidi="ar"/>
          <w14:textFill>
            <w14:solidFill>
              <w14:schemeClr w14:val="tx1"/>
            </w14:solidFill>
          </w14:textFill>
        </w:rPr>
        <w:t>专项</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基金申请方案符合前述文件规定的要求；本机构将继续遵守前述文件的规定，并承诺自</w:t>
      </w:r>
      <w:r>
        <w:rPr>
          <w:rFonts w:hint="default" w:ascii="Times New Roman" w:hAnsi="Times New Roman" w:cs="Times New Roman"/>
          <w:b w:val="0"/>
          <w:bCs w:val="0"/>
          <w:color w:val="000000" w:themeColor="text1"/>
          <w:kern w:val="0"/>
          <w:sz w:val="32"/>
          <w:szCs w:val="32"/>
          <w:shd w:val="clear" w:color="auto" w:fill="FFFFFF"/>
          <w:lang w:bidi="ar"/>
          <w14:textFill>
            <w14:solidFill>
              <w14:schemeClr w14:val="tx1"/>
            </w14:solidFill>
          </w14:textFill>
        </w:rPr>
        <w:t>专项</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基金设立之日起，将完全按照相关文件规定及协议约定管理基金事务。</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二、本机构为依法设立并有效存续的（有限责任公司、股份有限公司、合伙企业、事业单位或其他法律主体），不存在相关法律法规规定的终止事由。</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三、本机构自愿承担专项基金的募资工作，承诺自</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文旅</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基金投资决策通过后3个月内完成基金合伙协议（或公司章程）的签署工作；如专项基金未在上述期限内完成合伙协议（或公司章程）的签署工作</w:t>
      </w:r>
      <w:r>
        <w:rPr>
          <w:rFonts w:hint="default" w:ascii="Times New Roman" w:hAnsi="Times New Roman" w:eastAsia="仿宋_GB2312" w:cs="Times New Roman"/>
          <w:color w:val="000000" w:themeColor="text1"/>
          <w:kern w:val="0"/>
          <w:sz w:val="32"/>
          <w:szCs w:val="32"/>
          <w:shd w:val="clear" w:color="auto" w:fill="FFFFFF"/>
          <w:lang w:eastAsia="zh-Hans" w:bidi="ar"/>
          <w14:textFill>
            <w14:solidFill>
              <w14:schemeClr w14:val="tx1"/>
            </w14:solidFill>
          </w14:textFill>
        </w:rPr>
        <w:t>或募集行为违规违法</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，本机构自愿放弃使用</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体旅融合产业专项</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基金承诺出资，并承担相应的法律责任。</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四、本机构相关人员提供的关于本机构、基金投资人、专项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六、因专项基金及其管理机构违反《贵州省文化旅游产业投资基金管理暂行办法》《贵州省文化旅游产业投资基金参投子基金申报指南》等相关规定导致</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体旅融合产业专项</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基金强制退出而产生的风险和损失，本机构自愿与关联方共同承担。</w:t>
      </w:r>
    </w:p>
    <w:p>
      <w:pPr>
        <w:keepNext/>
        <w:keepLines w:val="0"/>
        <w:pageBreakBefore w:val="0"/>
        <w:widowControl w:val="0"/>
        <w:kinsoku/>
        <w:wordWrap w:val="0"/>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七、如上述说明和承诺情况存在任何虚假或隐瞒，本机构将承担由此而产生的一切法律责任。同时，如贵司在专项基金设立后发现上述说明和承诺情况存在任何虚假或隐瞒，本机构愿承担由此而产生的包括但不限于以下法律责任：</w:t>
      </w:r>
    </w:p>
    <w:p>
      <w:pPr>
        <w:keepNext/>
        <w:keepLines w:val="0"/>
        <w:pageBreakBefore w:val="0"/>
        <w:widowControl w:val="0"/>
        <w:kinsoku/>
        <w:wordWrap w:val="0"/>
        <w:overflowPunct/>
        <w:topLinePunct w:val="0"/>
        <w:autoSpaceDE/>
        <w:autoSpaceDN/>
        <w:bidi w:val="0"/>
        <w:adjustRightInd w:val="0"/>
        <w:snapToGrid w:val="0"/>
        <w:spacing w:line="600" w:lineRule="exact"/>
        <w:ind w:firstLine="42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向</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体旅融合产业专项</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基金承担相应责任并赔偿由此对</w:t>
      </w:r>
      <w:r>
        <w:rPr>
          <w:rFonts w:hint="eastAsia"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体旅融合产业专项</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基金造成的全部损失；</w:t>
      </w:r>
    </w:p>
    <w:p>
      <w:pPr>
        <w:keepNext/>
        <w:keepLines w:val="0"/>
        <w:pageBreakBefore w:val="0"/>
        <w:widowControl w:val="0"/>
        <w:kinsoku/>
        <w:wordWrap w:val="0"/>
        <w:overflowPunct/>
        <w:topLinePunct w:val="0"/>
        <w:autoSpaceDE/>
        <w:autoSpaceDN/>
        <w:bidi w:val="0"/>
        <w:adjustRightInd w:val="0"/>
        <w:snapToGrid w:val="0"/>
        <w:spacing w:line="600" w:lineRule="exact"/>
        <w:ind w:firstLine="42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依据专项基金《合伙协议》/《公司章程》/《委托管理协议》等规定承担相应的法律责任；</w:t>
      </w:r>
    </w:p>
    <w:p>
      <w:pPr>
        <w:keepNext/>
        <w:keepLines w:val="0"/>
        <w:pageBreakBefore w:val="0"/>
        <w:widowControl w:val="0"/>
        <w:kinsoku/>
        <w:wordWrap w:val="0"/>
        <w:overflowPunct/>
        <w:topLinePunct w:val="0"/>
        <w:autoSpaceDE/>
        <w:autoSpaceDN/>
        <w:bidi w:val="0"/>
        <w:adjustRightInd w:val="0"/>
        <w:snapToGrid w:val="0"/>
        <w:spacing w:line="600" w:lineRule="exact"/>
        <w:ind w:firstLine="420"/>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承担其他与此相关的法律责任。</w:t>
      </w:r>
    </w:p>
    <w:p>
      <w:pPr>
        <w:keepNext/>
        <w:keepLines w:val="0"/>
        <w:pageBreakBefore w:val="0"/>
        <w:widowControl w:val="0"/>
        <w:kinsoku/>
        <w:wordWrap w:val="0"/>
        <w:overflowPunct/>
        <w:topLinePunct w:val="0"/>
        <w:autoSpaceDE/>
        <w:autoSpaceDN/>
        <w:bidi w:val="0"/>
        <w:adjustRightInd w:val="0"/>
        <w:snapToGrid w:val="0"/>
        <w:spacing w:line="600" w:lineRule="exact"/>
        <w:ind w:firstLine="420"/>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特此承诺！</w:t>
      </w:r>
    </w:p>
    <w:p>
      <w:pPr>
        <w:keepNext/>
        <w:keepLines w:val="0"/>
        <w:pageBreakBefore w:val="0"/>
        <w:widowControl w:val="0"/>
        <w:kinsoku/>
        <w:wordWrap w:val="0"/>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承诺人（公章、骑缝章）：</w:t>
      </w:r>
    </w:p>
    <w:p>
      <w:pPr>
        <w:keepNext/>
        <w:keepLines w:val="0"/>
        <w:pageBreakBefore w:val="0"/>
        <w:widowControl w:val="0"/>
        <w:kinsoku/>
        <w:wordWrap w:val="0"/>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p>
    <w:p>
      <w:pPr>
        <w:keepNext/>
        <w:keepLines w:val="0"/>
        <w:pageBreakBefore w:val="0"/>
        <w:widowControl w:val="0"/>
        <w:kinsoku/>
        <w:overflowPunct/>
        <w:topLinePunct w:val="0"/>
        <w:autoSpaceDE/>
        <w:autoSpaceDN/>
        <w:bidi w:val="0"/>
        <w:adjustRightInd w:val="0"/>
        <w:snapToGrid w:val="0"/>
        <w:spacing w:line="600" w:lineRule="exact"/>
        <w:ind w:firstLine="2528" w:firstLineChars="800"/>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法定代表人/执行事务合伙人（签字）：</w:t>
      </w:r>
    </w:p>
    <w:p>
      <w:pPr>
        <w:keepNext/>
        <w:keepLines w:val="0"/>
        <w:pageBreakBefore w:val="0"/>
        <w:widowControl w:val="0"/>
        <w:kinsoku/>
        <w:overflowPunct/>
        <w:topLinePunct w:val="0"/>
        <w:autoSpaceDE/>
        <w:autoSpaceDN/>
        <w:bidi w:val="0"/>
        <w:adjustRightInd w:val="0"/>
        <w:snapToGrid w:val="0"/>
        <w:spacing w:line="600" w:lineRule="exact"/>
        <w:jc w:val="righ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w:t>
      </w:r>
      <w:r>
        <w:rPr>
          <w:rFonts w:hint="default" w:ascii="Times New Roman" w:hAnsi="Times New Roman" w:cs="Times New Roman"/>
          <w:color w:val="000000" w:themeColor="text1"/>
          <w:kern w:val="0"/>
          <w:sz w:val="32"/>
          <w:szCs w:val="32"/>
          <w:shd w:val="clear" w:color="auto" w:fill="FFFFFF"/>
          <w:lang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日期：    年   月   日</w:t>
      </w:r>
    </w:p>
    <w:p>
      <w:pPr>
        <w:keepLines w:val="0"/>
        <w:pageBreakBefore w:val="0"/>
        <w:widowControl w:val="0"/>
        <w:kinsoku/>
        <w:overflowPunct/>
        <w:topLinePunct w:val="0"/>
        <w:autoSpaceDE/>
        <w:autoSpaceDN/>
        <w:bidi w:val="0"/>
        <w:spacing w:line="600" w:lineRule="exac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br w:type="page"/>
      </w:r>
    </w:p>
    <w:p>
      <w:pPr>
        <w:rPr>
          <w:rFonts w:hint="default"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t>附件5</w:t>
      </w:r>
      <w:bookmarkStart w:id="6" w:name="_Toc32095_WPSOffice_Level1"/>
    </w:p>
    <w:bookmarkEnd w:id="6"/>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8"/>
          <w:rFonts w:hint="default"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pPr>
      <w:r>
        <w:rPr>
          <w:rStyle w:val="8"/>
          <w:rFonts w:hint="eastAsia" w:ascii="方正小标宋简体" w:hAnsi="方正小标宋简体" w:eastAsia="方正小标宋简体" w:cs="方正小标宋简体"/>
          <w:b w:val="0"/>
          <w:color w:val="000000" w:themeColor="text1"/>
          <w:sz w:val="44"/>
          <w:szCs w:val="44"/>
          <w:shd w:val="clear" w:color="auto" w:fill="FFFFFF"/>
          <w14:textFill>
            <w14:solidFill>
              <w14:schemeClr w14:val="tx1"/>
            </w14:solidFill>
          </w14:textFill>
        </w:rPr>
        <w:t>需提供相关材料的清单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rPr>
      </w:pPr>
      <w:bookmarkStart w:id="7" w:name="_Toc25675_WPSOffice_Level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r>
        <w:rPr>
          <w:rFonts w:hint="eastAsia" w:ascii="黑体" w:hAnsi="黑体" w:eastAsia="黑体" w:cs="黑体"/>
        </w:rPr>
        <w:t>一</w:t>
      </w:r>
      <w:r>
        <w:rPr>
          <w:rFonts w:hint="eastAsia"/>
        </w:rPr>
        <w:t>、</w:t>
      </w:r>
      <w:r>
        <w:rPr>
          <w:rFonts w:hint="eastAsia" w:ascii="黑体" w:hAnsi="黑体" w:eastAsia="黑体" w:cs="黑体"/>
        </w:rPr>
        <w:t>出资机构应提供的材料</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2.公司章程或合伙协议；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3.实缴出资证明材料或净资产证明材料；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4.最近三年不存在重大违纪违规行为；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5.法定代表人或执行事务合伙人（或其委派代表）身份证明；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6.投资人员基金投资经验和资质证明；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7.申请机构或其主要股东、普通合伙人最近三个会计年度经审计的财务报告；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8.其他需要提交的资料。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rPr>
      </w:pPr>
      <w:bookmarkStart w:id="8" w:name="_Toc9177_WPSOffice_Level1"/>
      <w:r>
        <w:rPr>
          <w:rFonts w:hint="default" w:ascii="黑体" w:hAnsi="黑体" w:eastAsia="黑体" w:cs="黑体"/>
        </w:rPr>
        <w:t>二</w:t>
      </w:r>
      <w:r>
        <w:rPr>
          <w:rFonts w:hint="eastAsia"/>
        </w:rPr>
        <w:t>、</w:t>
      </w:r>
      <w:r>
        <w:rPr>
          <w:rFonts w:hint="default" w:ascii="黑体" w:hAnsi="黑体" w:eastAsia="黑体" w:cs="黑体"/>
        </w:rPr>
        <w:t>管理机构应提交的材料</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2.合伙协议（或公司章程）；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3.登记备案证明；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4.实缴出资证明材料；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5.管理机构或其主要股东、普通合伙人和在管基金最近三个会计年度及最近一期经审计的财务报告或财务报表；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6.专项基金管理机构需根据申报方案提供以下证明材料之一：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（1）管理机构或其主要股东、普通合伙人自有资金及管理的基金累计投资项目和成功投资的案例（3个含以上）的证明材料；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（2）管理机构或其主要股东、普通合伙人或3名以上管理团队主要成员以骨干身份共同累计管理基金（实缴规模不低于3亿元人民币）和股权投资成功案例（3个含以上）的证明材料；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7.核心团队及高级管理人员个人征信报告；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8.内部治理架构：管理和投资运作规范，具有完整的投资决策程序、全面的风险控制机制和健全的财务管理制度；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rPr>
      </w:pPr>
      <w:bookmarkStart w:id="9" w:name="_Toc5806_WPSOffice_Level1"/>
      <w:r>
        <w:rPr>
          <w:rFonts w:hint="default" w:ascii="黑体" w:hAnsi="黑体" w:eastAsia="黑体" w:cs="黑体"/>
        </w:rPr>
        <w:t>三</w:t>
      </w:r>
      <w:r>
        <w:rPr>
          <w:rFonts w:hint="eastAsia"/>
        </w:rPr>
        <w:t>、</w:t>
      </w:r>
      <w:r>
        <w:rPr>
          <w:rFonts w:hint="default" w:ascii="黑体" w:hAnsi="黑体" w:eastAsia="黑体" w:cs="黑体"/>
        </w:rPr>
        <w:t>专项基金须在文旅基金实际出资前补齐以下材料</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1.专项基金设立的营业执照；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2.专项基金公司章程/合伙协议；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3.专项基金托管协议；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rPr>
        <w:t>4.专项基金备案证明材料。</w:t>
      </w:r>
    </w:p>
    <w:p>
      <w:pPr>
        <w:rPr>
          <w:rFonts w:hint="default"/>
        </w:rPr>
      </w:pPr>
      <w:r>
        <w:rPr>
          <w:rFonts w:hint="default"/>
        </w:rPr>
        <w:br w:type="page"/>
      </w:r>
    </w:p>
    <w:p>
      <w:pPr>
        <w:rPr>
          <w:rFonts w:hint="default" w:ascii="Times New Roman" w:hAnsi="Times New Roman" w:eastAsia="黑体" w:cs="Times New Roman"/>
          <w:lang w:val="en-US"/>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廉政建设告知书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贵州省贵鑫瑞和创业投资管理有限责任公司（以下简称管理公司）受托管理贵州省文化旅游产业投资基金，根据《贵州省文化旅游产业投资基金管理办法》等相关规范性文件，接受贵州省文化旅游产业投资基金拟</w:t>
      </w:r>
      <w:r>
        <w:rPr>
          <w:rFonts w:hint="eastAsia"/>
          <w:lang w:eastAsia="zh-CN"/>
        </w:rPr>
        <w:t>参股投资专项基金</w:t>
      </w:r>
      <w:r>
        <w:rPr>
          <w:rFonts w:hint="eastAsia"/>
        </w:rPr>
        <w:t>的出资申请，审查相应的基金架构，选择符合条件的</w:t>
      </w:r>
      <w:r>
        <w:rPr>
          <w:rFonts w:hint="eastAsia"/>
          <w:lang w:eastAsia="zh-CN"/>
        </w:rPr>
        <w:t>专项基金</w:t>
      </w:r>
      <w:r>
        <w:rPr>
          <w:rFonts w:hint="eastAsia"/>
        </w:rPr>
        <w:t>管理机构以及负责贵州省文化旅游产业投资基金的尽职</w:t>
      </w:r>
      <w:r>
        <w:rPr>
          <w:rFonts w:hint="eastAsia"/>
          <w:lang w:eastAsia="zh-CN"/>
        </w:rPr>
        <w:t>调查</w:t>
      </w:r>
      <w:r>
        <w:rPr>
          <w:rFonts w:hint="eastAsia"/>
        </w:rPr>
        <w:t>和投后管理等具体工作。为了更好地发挥财政资金的引导放大作用，强化纪律约束，规范运作程序，现将相关廉政建设事项告知如下：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bookmarkStart w:id="10" w:name="_Toc15975_WPSOffice_Level1"/>
      <w:r>
        <w:rPr>
          <w:rFonts w:hint="eastAsia" w:ascii="黑体" w:hAnsi="黑体" w:eastAsia="黑体" w:cs="黑体"/>
        </w:rPr>
        <w:t>一</w:t>
      </w:r>
      <w:r>
        <w:rPr>
          <w:rFonts w:hint="eastAsia"/>
        </w:rPr>
        <w:t>、</w:t>
      </w:r>
      <w:r>
        <w:rPr>
          <w:rFonts w:hint="eastAsia" w:ascii="黑体" w:hAnsi="黑体" w:eastAsia="黑体" w:cs="黑体"/>
        </w:rPr>
        <w:t>管理公司工作人员不得从事以下行为</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1.严禁滥用职权，损害公司或他人利益；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2.严禁利用职务上的便利通过同业经营或关联交易为本人或特定关系人谋取利益；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3.严禁利用商业秘密、业务渠道等为本人或者他人牟利；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4.严禁索取、收受任何形式的回扣、手续费、酬金、礼金、感谢费、各种有价证券等；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5.严禁参加有可能影响公正履行职务的宴请、旅游和其它高消费娱乐活动。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bookmarkStart w:id="11" w:name="_Toc18564_WPSOffice_Level1"/>
      <w:r>
        <w:rPr>
          <w:rFonts w:hint="eastAsia" w:ascii="黑体" w:hAnsi="黑体" w:eastAsia="黑体" w:cs="黑体"/>
        </w:rPr>
        <w:t>二</w:t>
      </w:r>
      <w:r>
        <w:rPr>
          <w:rFonts w:hint="eastAsia"/>
        </w:rPr>
        <w:t>、</w:t>
      </w:r>
      <w:r>
        <w:rPr>
          <w:rFonts w:hint="eastAsia" w:ascii="黑体" w:hAnsi="黑体" w:eastAsia="黑体" w:cs="黑体"/>
        </w:rPr>
        <w:t>贵单位不得从事以下行为</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1.不得行贿、变相行贿以及报销本应由管理公司工作人员支付的费用；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2.不得赠送礼品、礼金、各种有价证券及其他支付凭证；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3.不得提供任何方式的高消费娱乐活动；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4.不得为管理公司工作人员在贵单位入股、参股、兼职以及为其个人牟利提供便利。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r>
        <w:rPr>
          <w:rFonts w:hint="eastAsia"/>
        </w:rPr>
        <w:t>以上规定希望得到贵单位的支持和配合，若管理公司工作人员有违反上述规定的行为，在工作中发生不廉洁、不正当及违反相关规范性文件的情形，贵单位有权向管理公司纪律部门或贵州省财政厅投诉反映，管理公司将严肃查处，决不姑息；触犯国家法律的，依法移送司法机关处理。如贵单位人员违反本规定，管理公司有权中止或取消与贵单位的合作，由此造成的后果由贵单位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eastAsia="仿宋_GB2312"/>
          <w:lang w:val="en-US" w:eastAsia="zh-CN"/>
        </w:rPr>
      </w:pPr>
      <w:r>
        <w:rPr>
          <w:rFonts w:hint="eastAsia"/>
        </w:rPr>
        <w:t>管理公司廉政建设投诉电话：</w:t>
      </w:r>
      <w:r>
        <w:rPr>
          <w:rFonts w:hint="eastAsia"/>
          <w:lang w:val="en-US" w:eastAsia="zh-CN"/>
        </w:rPr>
        <w:t>XXXXXX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rPr>
      </w:pPr>
      <w:r>
        <w:rPr>
          <w:rFonts w:hint="eastAsia"/>
        </w:rPr>
        <w:t>特此告知！</w:t>
      </w:r>
    </w:p>
    <w:p/>
    <w:sectPr>
      <w:footerReference r:id="rId3" w:type="default"/>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-304165</wp:posOffset>
              </wp:positionV>
              <wp:extent cx="633730" cy="4419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3730"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p>
                          <w:pPr>
                            <w:pStyle w:val="3"/>
                            <w:rPr>
                              <w:rFonts w:hint="eastAsia" w:eastAsia="仿宋_GB231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3.95pt;height:34.8pt;width:49.9pt;mso-position-horizontal:outside;mso-position-horizontal-relative:margin;z-index:251659264;mso-width-relative:page;mso-height-relative:page;" filled="f" stroked="f" coordsize="21600,21600" o:gfxdata="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1Y2wdYAAAAGAQAADwAA&#10;AAAAAAABACAAAAAiAAAAZHJzL2Rvd25yZXYueG1sUEsBAhQAFAAAAAgAh07iQAXYhYsYAgAAEwQA&#10;AA4AAAAAAAAAAQAgAAAAJQEAAGRycy9lMm9Eb2MueG1sUEsFBgAAAAAGAAYAWQEAAK8FAAAAAA==&#10;">
              <v:fill on="f" focussize="0,0"/>
              <v:stroke on="f" weight="0.5pt"/>
              <v:imagedata o:title=""/>
              <o:lock v:ext="edit" aspectratio="f"/>
              <v:textbox inset="0mm,0mm,0mm,0mm">
                <w:txbxContent>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p>
                    <w:pPr>
                      <w:pStyle w:val="3"/>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-476885</wp:posOffset>
              </wp:positionV>
              <wp:extent cx="920750" cy="413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0750"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5pt;height:32.55pt;width:72.5pt;mso-position-horizontal:outside;mso-position-horizontal-relative:margin;z-index:251658240;mso-width-relative:page;mso-height-relative:page;" filled="f" stroked="f" coordsize="21600,21600" o:gfxdata="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OJ61gAAAAgBAAAP&#10;AAAAAAAAAAEAIAAAACIAAABkcnMvZG93bnJldi54bWxQSwECFAAUAAAACACHTuJAMT+/VxoCAAAT&#10;BAAADgAAAAAAAAABACAAAAAlAQAAZHJzL2Uyb0RvYy54bWxQSwUGAAAAAAYABgBZAQAAsQUAAAAA&#10;">
              <v:fill on="f" focussize="0,0"/>
              <v:stroke on="f" weight="0.5pt"/>
              <v:imagedata o:title=""/>
              <o:lock v:ext="edit" aspectratio="f"/>
              <v:textbox inset="0mm,0mm,0mm,0mm">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6274D"/>
    <w:rsid w:val="2012095D"/>
    <w:rsid w:val="575D19DD"/>
    <w:rsid w:val="632A6DB6"/>
    <w:rsid w:val="6A371026"/>
    <w:rsid w:val="711B1158"/>
    <w:rsid w:val="7DFD4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eastAsia="宋体" w:cs="宋体"/>
      <w:kern w:val="0"/>
      <w:sz w:val="24"/>
    </w:rPr>
  </w:style>
  <w:style w:type="character" w:styleId="8">
    <w:name w:val="Strong"/>
    <w:qFormat/>
    <w:uiPriority w:val="0"/>
    <w:rPr>
      <w:b/>
    </w:rPr>
  </w:style>
  <w:style w:type="paragraph" w:customStyle="1" w:styleId="9">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0">
    <w:name w:val="列出段落1"/>
    <w:basedOn w:val="1"/>
    <w:qFormat/>
    <w:uiPriority w:val="34"/>
    <w:pPr>
      <w:ind w:firstLine="420" w:firstLineChars="200"/>
    </w:pPr>
  </w:style>
  <w:style w:type="paragraph" w:customStyle="1" w:styleId="11">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dc:creator>
  <cp:lastModifiedBy>良橙时吉</cp:lastModifiedBy>
  <dcterms:modified xsi:type="dcterms:W3CDTF">2021-09-18T00:55:26Z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