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5045" w14:textId="77777777" w:rsidR="00C760ED" w:rsidRDefault="00000000">
      <w:pPr>
        <w:widowControl/>
        <w:spacing w:line="360" w:lineRule="atLeast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>附件1</w:t>
      </w:r>
    </w:p>
    <w:p w14:paraId="469E3AB0" w14:textId="77777777" w:rsidR="00C760ED" w:rsidRDefault="00000000">
      <w:pPr>
        <w:widowControl/>
        <w:spacing w:line="360" w:lineRule="atLeast"/>
        <w:jc w:val="left"/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4"/>
        </w:rPr>
        <w:t xml:space="preserve">                   </w:t>
      </w:r>
      <w:r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24"/>
        </w:rPr>
        <w:t xml:space="preserve"> 日程安排</w:t>
      </w:r>
    </w:p>
    <w:p w14:paraId="3F3E40B0" w14:textId="77777777" w:rsidR="00C760ED" w:rsidRDefault="00C760ED">
      <w:pPr>
        <w:widowControl/>
        <w:spacing w:line="360" w:lineRule="atLeast"/>
        <w:jc w:val="left"/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24"/>
        </w:rPr>
      </w:pPr>
    </w:p>
    <w:tbl>
      <w:tblPr>
        <w:tblStyle w:val="a3"/>
        <w:tblW w:w="10608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1068"/>
        <w:gridCol w:w="2587"/>
        <w:gridCol w:w="4981"/>
        <w:gridCol w:w="1972"/>
      </w:tblGrid>
      <w:tr w:rsidR="00C760ED" w14:paraId="56D19215" w14:textId="77777777">
        <w:tc>
          <w:tcPr>
            <w:tcW w:w="1068" w:type="dxa"/>
          </w:tcPr>
          <w:p w14:paraId="5244761B" w14:textId="77777777" w:rsidR="00C760ED" w:rsidRDefault="00000000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日 期 </w:t>
            </w:r>
          </w:p>
        </w:tc>
        <w:tc>
          <w:tcPr>
            <w:tcW w:w="2587" w:type="dxa"/>
          </w:tcPr>
          <w:p w14:paraId="2773BF4E" w14:textId="77777777" w:rsidR="00C760ED" w:rsidRDefault="00000000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时间</w:t>
            </w:r>
          </w:p>
        </w:tc>
        <w:tc>
          <w:tcPr>
            <w:tcW w:w="4981" w:type="dxa"/>
          </w:tcPr>
          <w:p w14:paraId="1E7ED07B" w14:textId="77777777" w:rsidR="00C760ED" w:rsidRDefault="00000000">
            <w:pPr>
              <w:widowControl/>
              <w:spacing w:line="360" w:lineRule="atLeast"/>
              <w:ind w:firstLineChars="500" w:firstLine="1600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日程安排</w:t>
            </w:r>
          </w:p>
        </w:tc>
        <w:tc>
          <w:tcPr>
            <w:tcW w:w="1972" w:type="dxa"/>
          </w:tcPr>
          <w:p w14:paraId="0210BA8E" w14:textId="77777777" w:rsidR="00C760ED" w:rsidRDefault="00000000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地点</w:t>
            </w:r>
          </w:p>
        </w:tc>
      </w:tr>
      <w:tr w:rsidR="00C760ED" w14:paraId="791AFDCB" w14:textId="77777777">
        <w:trPr>
          <w:trHeight w:val="1503"/>
        </w:trPr>
        <w:tc>
          <w:tcPr>
            <w:tcW w:w="1068" w:type="dxa"/>
          </w:tcPr>
          <w:p w14:paraId="40DE07D2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3月17日</w:t>
            </w:r>
          </w:p>
        </w:tc>
        <w:tc>
          <w:tcPr>
            <w:tcW w:w="2587" w:type="dxa"/>
          </w:tcPr>
          <w:p w14:paraId="20DEEC1E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下午2：00 —</w:t>
            </w:r>
          </w:p>
        </w:tc>
        <w:tc>
          <w:tcPr>
            <w:tcW w:w="4981" w:type="dxa"/>
          </w:tcPr>
          <w:p w14:paraId="2314F2CC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酒店报到</w:t>
            </w:r>
          </w:p>
        </w:tc>
        <w:tc>
          <w:tcPr>
            <w:tcW w:w="1972" w:type="dxa"/>
          </w:tcPr>
          <w:p w14:paraId="75B342EA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酒店大堂</w:t>
            </w:r>
          </w:p>
        </w:tc>
      </w:tr>
      <w:tr w:rsidR="00C760ED" w14:paraId="25E4CFAF" w14:textId="77777777">
        <w:tc>
          <w:tcPr>
            <w:tcW w:w="1068" w:type="dxa"/>
            <w:vMerge w:val="restart"/>
            <w:vAlign w:val="center"/>
          </w:tcPr>
          <w:p w14:paraId="1B875F71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3月18日</w:t>
            </w:r>
          </w:p>
          <w:p w14:paraId="33652DEB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上午</w:t>
            </w:r>
          </w:p>
        </w:tc>
        <w:tc>
          <w:tcPr>
            <w:tcW w:w="2587" w:type="dxa"/>
          </w:tcPr>
          <w:p w14:paraId="4B9F6F3B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9:00-10:30</w:t>
            </w:r>
          </w:p>
        </w:tc>
        <w:tc>
          <w:tcPr>
            <w:tcW w:w="4981" w:type="dxa"/>
          </w:tcPr>
          <w:p w14:paraId="3E7B02A0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活动启动仪式</w:t>
            </w:r>
          </w:p>
          <w:p w14:paraId="102085F3" w14:textId="77777777" w:rsidR="00C760ED" w:rsidRDefault="00000000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主办单位领导致辞</w:t>
            </w:r>
          </w:p>
          <w:p w14:paraId="4ABF7C3D" w14:textId="77777777" w:rsidR="00C760ED" w:rsidRDefault="00000000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互赠仪式:红色革命圣地负责人与主办单位代表互赠</w:t>
            </w:r>
            <w:proofErr w:type="gramStart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馆藏党建</w:t>
            </w:r>
            <w:proofErr w:type="gramEnd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资料及红色革命主题模型学生作品。</w:t>
            </w:r>
          </w:p>
          <w:p w14:paraId="2F0E1C82" w14:textId="77777777" w:rsidR="00C760ED" w:rsidRDefault="00000000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运动员、裁判员代表宣誓</w:t>
            </w:r>
          </w:p>
          <w:p w14:paraId="4B6873BA" w14:textId="77777777" w:rsidR="00C760ED" w:rsidRDefault="00000000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启动领航舵，宣布活动开启</w:t>
            </w:r>
          </w:p>
        </w:tc>
        <w:tc>
          <w:tcPr>
            <w:tcW w:w="1972" w:type="dxa"/>
          </w:tcPr>
          <w:p w14:paraId="012C91DF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酒店沙龙厅</w:t>
            </w:r>
          </w:p>
        </w:tc>
      </w:tr>
      <w:tr w:rsidR="00C760ED" w14:paraId="788D41FE" w14:textId="77777777">
        <w:tc>
          <w:tcPr>
            <w:tcW w:w="1068" w:type="dxa"/>
            <w:vMerge/>
          </w:tcPr>
          <w:p w14:paraId="560044D7" w14:textId="77777777" w:rsidR="00C760ED" w:rsidRDefault="00C760ED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2587" w:type="dxa"/>
          </w:tcPr>
          <w:p w14:paraId="635DD065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10:30 - 11:30</w:t>
            </w:r>
          </w:p>
        </w:tc>
        <w:tc>
          <w:tcPr>
            <w:tcW w:w="4981" w:type="dxa"/>
          </w:tcPr>
          <w:p w14:paraId="2110A496" w14:textId="77777777" w:rsidR="00C760ED" w:rsidRDefault="00000000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航管中心领导介绍竞赛背景、活动目的。 </w:t>
            </w:r>
          </w:p>
          <w:p w14:paraId="1686C591" w14:textId="77777777" w:rsidR="00C760ED" w:rsidRDefault="00000000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赛事总裁判长解读竞赛规程</w:t>
            </w:r>
          </w:p>
          <w:p w14:paraId="4B56128F" w14:textId="77777777" w:rsidR="00C760ED" w:rsidRDefault="00000000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校园科技模型活动经验分享：</w:t>
            </w:r>
          </w:p>
          <w:p w14:paraId="4012CB58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1.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 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杭州市求知小学校长陈群云</w:t>
            </w:r>
          </w:p>
          <w:p w14:paraId="2C0FCF2E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“传承红色基因 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 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培育家国情怀”</w:t>
            </w:r>
          </w:p>
          <w:p w14:paraId="758BD3E0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——杭州市求知小学以模型为载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>体培根铸</w:t>
            </w:r>
            <w:proofErr w:type="gramStart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魂教育</w:t>
            </w:r>
            <w:proofErr w:type="gramEnd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工作汇报</w:t>
            </w:r>
          </w:p>
          <w:p w14:paraId="104C331C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2.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 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金华市东苑小学副校长吴震</w:t>
            </w:r>
          </w:p>
          <w:p w14:paraId="56518107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“明党史忆初心”</w:t>
            </w:r>
          </w:p>
          <w:p w14:paraId="0FCFCACE" w14:textId="0ED1987C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  <w:highlight w:val="yellow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—金华市东苑小学</w:t>
            </w:r>
            <w:r w:rsidR="0016333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庆祝建党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100周年《用模型说历史》</w:t>
            </w:r>
            <w:proofErr w:type="gramStart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思政课</w:t>
            </w:r>
            <w:proofErr w:type="gramEnd"/>
          </w:p>
        </w:tc>
        <w:tc>
          <w:tcPr>
            <w:tcW w:w="1972" w:type="dxa"/>
          </w:tcPr>
          <w:p w14:paraId="31A3EB79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>酒店沙龙厅</w:t>
            </w:r>
          </w:p>
        </w:tc>
      </w:tr>
      <w:tr w:rsidR="00C760ED" w14:paraId="46BBDE31" w14:textId="77777777">
        <w:tc>
          <w:tcPr>
            <w:tcW w:w="1068" w:type="dxa"/>
            <w:vMerge w:val="restart"/>
            <w:vAlign w:val="center"/>
          </w:tcPr>
          <w:p w14:paraId="5E29A096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3月18日</w:t>
            </w:r>
          </w:p>
          <w:p w14:paraId="7E02894F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下午</w:t>
            </w:r>
          </w:p>
        </w:tc>
        <w:tc>
          <w:tcPr>
            <w:tcW w:w="2587" w:type="dxa"/>
          </w:tcPr>
          <w:p w14:paraId="425A8E57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1:30 - 2:30</w:t>
            </w:r>
          </w:p>
        </w:tc>
        <w:tc>
          <w:tcPr>
            <w:tcW w:w="4981" w:type="dxa"/>
          </w:tcPr>
          <w:p w14:paraId="27137626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实地考察以“凝聚红船精神”和“传承中华文化”为特色的校园—</w:t>
            </w:r>
            <w:proofErr w:type="gramStart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嘉兴秀城实验</w:t>
            </w:r>
            <w:proofErr w:type="gramEnd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教育集团开展“红心向党、匠心育人”活动</w:t>
            </w:r>
          </w:p>
        </w:tc>
        <w:tc>
          <w:tcPr>
            <w:tcW w:w="1972" w:type="dxa"/>
          </w:tcPr>
          <w:p w14:paraId="30A861C7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嘉兴秀城实验</w:t>
            </w:r>
            <w:proofErr w:type="gramEnd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教育集团</w:t>
            </w:r>
          </w:p>
        </w:tc>
      </w:tr>
      <w:tr w:rsidR="00C760ED" w14:paraId="25519925" w14:textId="77777777">
        <w:tc>
          <w:tcPr>
            <w:tcW w:w="1068" w:type="dxa"/>
            <w:vMerge/>
          </w:tcPr>
          <w:p w14:paraId="3047E1E8" w14:textId="77777777" w:rsidR="00C760ED" w:rsidRDefault="00C760ED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2587" w:type="dxa"/>
          </w:tcPr>
          <w:p w14:paraId="50B24E88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2:30 - 3:30</w:t>
            </w:r>
          </w:p>
        </w:tc>
        <w:tc>
          <w:tcPr>
            <w:tcW w:w="4981" w:type="dxa"/>
          </w:tcPr>
          <w:p w14:paraId="637B9BA9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参观南湖革命纪念馆，听取赛事相关主题“红船精神、延安精神、长征精神”介绍</w:t>
            </w:r>
          </w:p>
        </w:tc>
        <w:tc>
          <w:tcPr>
            <w:tcW w:w="1972" w:type="dxa"/>
          </w:tcPr>
          <w:p w14:paraId="180F7D96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南湖革命纪念馆</w:t>
            </w:r>
          </w:p>
        </w:tc>
      </w:tr>
      <w:tr w:rsidR="00C760ED" w14:paraId="1BA60AF2" w14:textId="77777777">
        <w:tc>
          <w:tcPr>
            <w:tcW w:w="1068" w:type="dxa"/>
            <w:vMerge/>
          </w:tcPr>
          <w:p w14:paraId="466CD604" w14:textId="77777777" w:rsidR="00C760ED" w:rsidRDefault="00C760ED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2587" w:type="dxa"/>
          </w:tcPr>
          <w:p w14:paraId="585B2C6C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3:30 - 4:30</w:t>
            </w:r>
          </w:p>
        </w:tc>
        <w:tc>
          <w:tcPr>
            <w:tcW w:w="4981" w:type="dxa"/>
          </w:tcPr>
          <w:p w14:paraId="3CC40453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浙江红船干部学院教授为全体参训学员作“红船精神”党课；</w:t>
            </w:r>
          </w:p>
          <w:p w14:paraId="46E6BCDE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瞻仰红船，行程结束。</w:t>
            </w:r>
          </w:p>
        </w:tc>
        <w:tc>
          <w:tcPr>
            <w:tcW w:w="1972" w:type="dxa"/>
          </w:tcPr>
          <w:p w14:paraId="1CE86CE3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南湖湖心岛</w:t>
            </w:r>
          </w:p>
        </w:tc>
      </w:tr>
      <w:tr w:rsidR="00C760ED" w14:paraId="17531A47" w14:textId="77777777">
        <w:tc>
          <w:tcPr>
            <w:tcW w:w="1068" w:type="dxa"/>
          </w:tcPr>
          <w:p w14:paraId="4BFEAE85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3月19日</w:t>
            </w:r>
          </w:p>
          <w:p w14:paraId="0479FE89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上午</w:t>
            </w:r>
          </w:p>
        </w:tc>
        <w:tc>
          <w:tcPr>
            <w:tcW w:w="2587" w:type="dxa"/>
          </w:tcPr>
          <w:p w14:paraId="5726758E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12点以前</w:t>
            </w:r>
          </w:p>
        </w:tc>
        <w:tc>
          <w:tcPr>
            <w:tcW w:w="4981" w:type="dxa"/>
          </w:tcPr>
          <w:p w14:paraId="7978B3BB" w14:textId="77777777" w:rsidR="00C760ED" w:rsidRDefault="00000000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  <w:t>离会返程</w:t>
            </w:r>
          </w:p>
        </w:tc>
        <w:tc>
          <w:tcPr>
            <w:tcW w:w="1972" w:type="dxa"/>
          </w:tcPr>
          <w:p w14:paraId="26940366" w14:textId="77777777" w:rsidR="00C760ED" w:rsidRDefault="00C760ED">
            <w:pPr>
              <w:widowControl/>
              <w:spacing w:line="36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24"/>
              </w:rPr>
            </w:pPr>
          </w:p>
        </w:tc>
      </w:tr>
    </w:tbl>
    <w:p w14:paraId="6A23CE70" w14:textId="77777777" w:rsidR="00C760ED" w:rsidRDefault="00C760ED">
      <w:pPr>
        <w:widowControl/>
        <w:spacing w:line="360" w:lineRule="atLeast"/>
        <w:jc w:val="left"/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24"/>
        </w:rPr>
      </w:pPr>
    </w:p>
    <w:p w14:paraId="7AB384D0" w14:textId="77777777" w:rsidR="00C760ED" w:rsidRDefault="00C760ED">
      <w:pPr>
        <w:widowControl/>
        <w:spacing w:line="360" w:lineRule="atLeast"/>
        <w:jc w:val="left"/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24"/>
        </w:rPr>
      </w:pPr>
    </w:p>
    <w:p w14:paraId="53FB0F81" w14:textId="77777777" w:rsidR="00C760ED" w:rsidRDefault="00C760ED"/>
    <w:sectPr w:rsidR="00C7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EC3F98"/>
    <w:multiLevelType w:val="singleLevel"/>
    <w:tmpl w:val="FBEC3F9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9226439"/>
    <w:multiLevelType w:val="singleLevel"/>
    <w:tmpl w:val="69226439"/>
    <w:lvl w:ilvl="0">
      <w:start w:val="1"/>
      <w:numFmt w:val="decimal"/>
      <w:suff w:val="space"/>
      <w:lvlText w:val="%1."/>
      <w:lvlJc w:val="left"/>
    </w:lvl>
  </w:abstractNum>
  <w:num w:numId="1" w16cid:durableId="1625961142">
    <w:abstractNumId w:val="1"/>
  </w:num>
  <w:num w:numId="2" w16cid:durableId="30358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0ED"/>
    <w:rsid w:val="00163339"/>
    <w:rsid w:val="00605D26"/>
    <w:rsid w:val="00C760ED"/>
    <w:rsid w:val="04C400DF"/>
    <w:rsid w:val="07410CDD"/>
    <w:rsid w:val="1409388B"/>
    <w:rsid w:val="27BB3DC5"/>
    <w:rsid w:val="3A8D3249"/>
    <w:rsid w:val="3D8A7C62"/>
    <w:rsid w:val="41855AC0"/>
    <w:rsid w:val="438448A3"/>
    <w:rsid w:val="4AF72314"/>
    <w:rsid w:val="505D43D9"/>
    <w:rsid w:val="56FC1626"/>
    <w:rsid w:val="68582F08"/>
    <w:rsid w:val="6C695444"/>
    <w:rsid w:val="767D3413"/>
    <w:rsid w:val="77494739"/>
    <w:rsid w:val="77C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ED236"/>
  <w15:docId w15:val="{AB64923F-2D57-4081-9831-73BF6137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云伟 刘</cp:lastModifiedBy>
  <cp:revision>2</cp:revision>
  <dcterms:created xsi:type="dcterms:W3CDTF">2021-02-19T06:54:00Z</dcterms:created>
  <dcterms:modified xsi:type="dcterms:W3CDTF">2024-08-08T02:21:00Z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