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附件1：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日程安排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2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866"/>
        <w:gridCol w:w="5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13:00-18:00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培训报到（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地点：</w:t>
            </w:r>
            <w:r>
              <w:rPr>
                <w:rFonts w:hint="eastAsia" w:ascii="仿宋_GB2312" w:eastAsia="仿宋_GB2312" w:cs="Times New Roman"/>
                <w:color w:val="auto"/>
                <w:spacing w:val="8"/>
                <w:sz w:val="32"/>
                <w:szCs w:val="32"/>
                <w:lang w:eastAsia="zh-CN"/>
              </w:rPr>
              <w:t>宁波象山东谷湖开元度假酒店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开班仪式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集体合影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《体育竞赛裁判员管理办法》、《中国航海模型运动协会裁判员管理办法实施细则》（修订）、《中国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模型运动协会裁判员管理办法实施细则》（修订）《体育总局关于进一步规范体育赛场行为的若干意见》、《体育市场黑名单管理办法实施细则》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等政策法规学习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裁判员的职业道德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航海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模型赛事活动执裁方法及基本能力要求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航海模型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运动协会竞赛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规则学习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全国航海模型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锦标赛和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全国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青少年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航海模型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锦标赛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竞赛日程及流程制定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赛事执裁经验分享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中国车辆模型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协会竞赛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规则学习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全国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锦标赛和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全国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青少年车辆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锦标赛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竞赛日程及流程制定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赛事执裁经验分享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上午11:30前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离会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7FCA2513"/>
    <w:rsid w:val="7FC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2023-10-10T07:48:00Z</dcterms:created>
  <dc:creator>魏浩通</dc:creator>
  <cp:lastModifiedBy>魏浩通</cp:lastModifiedBy>
  <dcterms:modified xsi:type="dcterms:W3CDTF">2023-10-10T07:50:39Z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6F846F0C3EC84F6AB0B6C573374C2B45_11</vt:lpwstr>
  </property>
</Properties>
</file>