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val="0"/>
        <w:snapToGrid w:val="0"/>
        <w:spacing w:line="560" w:lineRule="exact"/>
        <w:jc w:val="both"/>
        <w:rPr>
          <w:rFonts w:hint="eastAsia" w:ascii="黑体" w:hAnsi="黑体" w:eastAsia="黑体" w:cs="黑体"/>
          <w:sz w:val="32"/>
          <w:szCs w:val="32"/>
          <w:lang w:val="en-US" w:eastAsia="zh-CN"/>
        </w:rPr>
      </w:pPr>
    </w:p>
    <w:p>
      <w:pPr>
        <w:widowControl w:val="0"/>
        <w:snapToGrid w:val="0"/>
        <w:spacing w:line="560" w:lineRule="exact"/>
        <w:jc w:val="center"/>
        <w:rPr>
          <w:rFonts w:ascii="方正小标宋简体" w:eastAsia="方正小标宋简体" w:cs="宋体" w:hAnsiTheme="majorEastAsia"/>
          <w:sz w:val="36"/>
          <w:szCs w:val="36"/>
        </w:rPr>
      </w:pPr>
      <w:r>
        <w:rPr>
          <w:rFonts w:hint="eastAsia" w:ascii="方正小标宋简体" w:eastAsia="方正小标宋简体" w:cs="宋体" w:hAnsiTheme="majorEastAsia"/>
          <w:sz w:val="36"/>
          <w:szCs w:val="36"/>
        </w:rPr>
        <w:t>第二十三届“飞向北京-飞向太空”全国青少年</w:t>
      </w:r>
    </w:p>
    <w:p>
      <w:pPr>
        <w:widowControl w:val="0"/>
        <w:snapToGrid w:val="0"/>
        <w:spacing w:line="560" w:lineRule="exact"/>
        <w:jc w:val="center"/>
        <w:rPr>
          <w:rFonts w:ascii="方正小标宋简体" w:eastAsia="方正小标宋简体" w:cs="方正小标宋简体" w:hAnsiTheme="majorEastAsia"/>
          <w:sz w:val="44"/>
          <w:szCs w:val="36"/>
        </w:rPr>
      </w:pPr>
      <w:r>
        <w:rPr>
          <w:rFonts w:hint="eastAsia" w:ascii="方正小标宋简体" w:eastAsia="方正小标宋简体" w:cs="宋体" w:hAnsiTheme="majorEastAsia"/>
          <w:sz w:val="36"/>
          <w:szCs w:val="36"/>
        </w:rPr>
        <w:t>航空航天模型教育竞赛活动总决赛实施方案</w:t>
      </w:r>
    </w:p>
    <w:p>
      <w:pPr>
        <w:pStyle w:val="2"/>
        <w:snapToGrid w:val="0"/>
        <w:spacing w:line="560" w:lineRule="exact"/>
        <w:jc w:val="center"/>
        <w:rPr>
          <w:b/>
          <w:bCs/>
          <w:sz w:val="30"/>
          <w:szCs w:val="30"/>
        </w:rPr>
      </w:pP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eastAsia="黑体"/>
          <w:sz w:val="32"/>
          <w:szCs w:val="32"/>
        </w:rPr>
      </w:pPr>
      <w:r>
        <w:rPr>
          <w:rFonts w:hint="eastAsia" w:ascii="黑体" w:eastAsia="黑体"/>
          <w:sz w:val="32"/>
          <w:szCs w:val="32"/>
        </w:rPr>
        <w:t>组织机构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（一）主办单位</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国家体育总局航空无线电模型运动管理中心</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中国航空运动协会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（二）承办单位</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全国青少年航空航天模型教育竞赛活动基层组织单位</w:t>
      </w: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eastAsia="黑体"/>
          <w:sz w:val="32"/>
          <w:szCs w:val="32"/>
        </w:rPr>
      </w:pPr>
      <w:r>
        <w:rPr>
          <w:rFonts w:hint="eastAsia" w:ascii="黑体" w:eastAsia="黑体"/>
          <w:sz w:val="32"/>
          <w:szCs w:val="32"/>
        </w:rPr>
        <w:t>比赛时间和地点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bCs/>
          <w:sz w:val="32"/>
          <w:szCs w:val="32"/>
        </w:rPr>
      </w:pPr>
      <w:r>
        <w:rPr>
          <w:rFonts w:hint="eastAsia" w:ascii="仿宋" w:hAnsi="仿宋" w:eastAsia="仿宋"/>
          <w:sz w:val="32"/>
          <w:szCs w:val="32"/>
        </w:rPr>
        <w:t>（一）</w:t>
      </w:r>
      <w:r>
        <w:rPr>
          <w:rFonts w:hint="eastAsia" w:ascii="仿宋_GB2312" w:hAnsi="宋体" w:eastAsia="仿宋_GB2312"/>
          <w:bCs/>
          <w:sz w:val="32"/>
          <w:szCs w:val="32"/>
        </w:rPr>
        <w:t>时间：本方案公布之日起至2022年11月30日</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bCs/>
          <w:sz w:val="32"/>
          <w:szCs w:val="32"/>
        </w:rPr>
      </w:pPr>
      <w:r>
        <w:rPr>
          <w:rFonts w:hint="eastAsia" w:ascii="仿宋" w:hAnsi="仿宋" w:eastAsia="仿宋"/>
          <w:sz w:val="32"/>
          <w:szCs w:val="32"/>
        </w:rPr>
        <w:t>（二）</w:t>
      </w:r>
      <w:r>
        <w:rPr>
          <w:rFonts w:hint="eastAsia" w:ascii="仿宋_GB2312" w:hAnsi="宋体" w:eastAsia="仿宋_GB2312"/>
          <w:bCs/>
          <w:sz w:val="32"/>
          <w:szCs w:val="32"/>
        </w:rPr>
        <w:t>地点：各基层组织单位所在地</w:t>
      </w: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eastAsia="黑体"/>
          <w:sz w:val="32"/>
          <w:szCs w:val="32"/>
        </w:rPr>
      </w:pPr>
      <w:r>
        <w:rPr>
          <w:rFonts w:hint="eastAsia" w:ascii="黑体" w:eastAsia="黑体"/>
          <w:sz w:val="32"/>
          <w:szCs w:val="32"/>
        </w:rPr>
        <w:t>比赛办法</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按中国航空运动协会发布的第二十三届“飞向北京-飞向太空”全国青少年航空航天模型教育竞赛活动总决赛规程、规则执行。</w:t>
      </w: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eastAsia="黑体"/>
          <w:sz w:val="32"/>
          <w:szCs w:val="32"/>
        </w:rPr>
      </w:pPr>
      <w:r>
        <w:rPr>
          <w:rFonts w:hint="eastAsia" w:ascii="黑体" w:eastAsia="黑体"/>
          <w:sz w:val="32"/>
          <w:szCs w:val="32"/>
        </w:rPr>
        <w:t>比赛方式及要求</w:t>
      </w:r>
    </w:p>
    <w:p>
      <w:pPr>
        <w:keepNext w:val="0"/>
        <w:keepLines w:val="0"/>
        <w:pageBreakBefore w:val="0"/>
        <w:widowControl w:val="0"/>
        <w:numPr>
          <w:ilvl w:val="0"/>
          <w:numId w:val="0"/>
        </w:numPr>
        <w:kinsoku/>
        <w:wordWrap/>
        <w:overflowPunct/>
        <w:topLinePunct w:val="0"/>
        <w:bidi w:val="0"/>
        <w:snapToGrid w:val="0"/>
        <w:spacing w:line="560" w:lineRule="exact"/>
        <w:ind w:leftChars="200" w:firstLine="320" w:firstLineChars="100"/>
        <w:textAlignment w:val="auto"/>
        <w:rPr>
          <w:rFonts w:ascii="仿宋_GB2312" w:eastAsia="仿宋_GB2312"/>
          <w:sz w:val="32"/>
          <w:szCs w:val="32"/>
        </w:rPr>
      </w:pPr>
      <w:r>
        <w:rPr>
          <w:rFonts w:hint="eastAsia" w:ascii="仿宋" w:hAnsi="仿宋" w:eastAsia="仿宋"/>
          <w:sz w:val="32"/>
          <w:szCs w:val="32"/>
        </w:rPr>
        <w:t>（一）</w:t>
      </w:r>
      <w:r>
        <w:rPr>
          <w:rFonts w:hint="eastAsia" w:ascii="仿宋_GB2312" w:eastAsia="仿宋_GB2312"/>
          <w:sz w:val="32"/>
          <w:szCs w:val="32"/>
        </w:rPr>
        <w:t>在严格遵守各地疫情防控工作要求的前提下，原则上各赛区的比赛优先采用集中竞赛的形式。对于条件不允许的地区基层组织单位可以采取以校为单位的校园通讯赛的形式。</w:t>
      </w:r>
    </w:p>
    <w:p>
      <w:pPr>
        <w:keepNext w:val="0"/>
        <w:keepLines w:val="0"/>
        <w:pageBreakBefore w:val="0"/>
        <w:widowControl w:val="0"/>
        <w:numPr>
          <w:ilvl w:val="0"/>
          <w:numId w:val="0"/>
        </w:numPr>
        <w:kinsoku/>
        <w:wordWrap/>
        <w:overflowPunct/>
        <w:topLinePunct w:val="0"/>
        <w:bidi w:val="0"/>
        <w:snapToGrid w:val="0"/>
        <w:spacing w:line="560" w:lineRule="exact"/>
        <w:ind w:leftChars="200" w:firstLine="320" w:firstLineChars="100"/>
        <w:textAlignment w:val="auto"/>
        <w:rPr>
          <w:rFonts w:ascii="仿宋_GB2312" w:eastAsia="仿宋_GB2312"/>
          <w:sz w:val="32"/>
          <w:szCs w:val="32"/>
        </w:rPr>
      </w:pPr>
      <w:r>
        <w:rPr>
          <w:rFonts w:hint="eastAsia" w:ascii="仿宋" w:hAnsi="仿宋" w:eastAsia="仿宋"/>
          <w:sz w:val="32"/>
          <w:szCs w:val="32"/>
        </w:rPr>
        <w:t>（二）</w:t>
      </w:r>
      <w:r>
        <w:rPr>
          <w:rFonts w:hint="eastAsia" w:ascii="仿宋_GB2312" w:eastAsia="仿宋_GB2312"/>
          <w:sz w:val="32"/>
          <w:szCs w:val="32"/>
        </w:rPr>
        <w:t>由相关基层组织单位按照总决赛规程规则的要求和基层组织单位管理办法的要求组织实施。</w:t>
      </w:r>
    </w:p>
    <w:p>
      <w:pPr>
        <w:keepNext w:val="0"/>
        <w:keepLines w:val="0"/>
        <w:pageBreakBefore w:val="0"/>
        <w:widowControl w:val="0"/>
        <w:numPr>
          <w:ilvl w:val="0"/>
          <w:numId w:val="0"/>
        </w:numPr>
        <w:kinsoku/>
        <w:wordWrap/>
        <w:overflowPunct/>
        <w:topLinePunct w:val="0"/>
        <w:bidi w:val="0"/>
        <w:snapToGrid w:val="0"/>
        <w:spacing w:line="560" w:lineRule="exact"/>
        <w:ind w:leftChars="200" w:firstLine="320" w:firstLineChars="100"/>
        <w:textAlignment w:val="auto"/>
        <w:rPr>
          <w:rFonts w:ascii="仿宋_GB2312" w:eastAsia="仿宋_GB2312"/>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w:t>
      </w:r>
      <w:r>
        <w:rPr>
          <w:rFonts w:hint="eastAsia" w:ascii="仿宋_GB2312" w:eastAsia="仿宋_GB2312"/>
          <w:sz w:val="32"/>
          <w:szCs w:val="32"/>
        </w:rPr>
        <w:t>各赛区校园通讯赛具体实施办法由基层组织单位结合本地实际制定。</w:t>
      </w:r>
    </w:p>
    <w:p>
      <w:pPr>
        <w:keepNext w:val="0"/>
        <w:keepLines w:val="0"/>
        <w:pageBreakBefore w:val="0"/>
        <w:widowControl w:val="0"/>
        <w:numPr>
          <w:ilvl w:val="0"/>
          <w:numId w:val="0"/>
        </w:numPr>
        <w:kinsoku/>
        <w:wordWrap/>
        <w:overflowPunct/>
        <w:topLinePunct w:val="0"/>
        <w:bidi w:val="0"/>
        <w:snapToGrid w:val="0"/>
        <w:spacing w:line="560" w:lineRule="exact"/>
        <w:ind w:leftChars="200" w:firstLine="320" w:firstLineChars="100"/>
        <w:textAlignment w:val="auto"/>
        <w:rPr>
          <w:rFonts w:ascii="仿宋_GB2312" w:eastAsia="仿宋_GB2312"/>
          <w:sz w:val="32"/>
          <w:szCs w:val="32"/>
        </w:rPr>
      </w:pPr>
      <w:bookmarkStart w:id="0" w:name="_GoBack"/>
      <w:bookmarkEnd w:id="0"/>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w:t>
      </w:r>
      <w:r>
        <w:rPr>
          <w:rFonts w:hint="eastAsia" w:ascii="仿宋_GB2312" w:eastAsia="仿宋_GB2312"/>
          <w:sz w:val="32"/>
          <w:szCs w:val="32"/>
        </w:rPr>
        <w:t>基层组织单位需在开赛前15日向飞北组委会提交本地区比赛方案，获批后方可实施。</w:t>
      </w: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奖励办法</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参照中国航空运动协会发布的第二十三届“飞向北京-飞向太空”全国青少年航空航天模型教育竞赛活动总决赛规程相关规定执行。</w:t>
      </w: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防疫要求</w:t>
      </w:r>
    </w:p>
    <w:p>
      <w:pPr>
        <w:keepNext w:val="0"/>
        <w:keepLines w:val="0"/>
        <w:pageBreakBefore w:val="0"/>
        <w:widowControl w:val="0"/>
        <w:tabs>
          <w:tab w:val="left" w:pos="720"/>
        </w:tabs>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所有参赛人员应在报到前通过“行程码”进行健康行程自查，每日进行体温和身体健康状况检测，如有发热、咳嗽等异常健康状况要随时报告赛事组委会并去医疗机构就诊，不接待来自新冠肺炎疫情中高风险地区的人员参赛。</w:t>
      </w:r>
    </w:p>
    <w:p>
      <w:pPr>
        <w:keepNext w:val="0"/>
        <w:keepLines w:val="0"/>
        <w:pageBreakBefore w:val="0"/>
        <w:widowControl w:val="0"/>
        <w:tabs>
          <w:tab w:val="left" w:pos="720"/>
        </w:tabs>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（二）所有参赛人员近7日内有去过中、高风险地区旅居史的，7日内如有与新冠肺炎确诊病例、疑似病例、无症状感染者及中高风险区域人员接触的人员不予参赛。</w:t>
      </w:r>
    </w:p>
    <w:p>
      <w:pPr>
        <w:keepNext w:val="0"/>
        <w:keepLines w:val="0"/>
        <w:pageBreakBefore w:val="0"/>
        <w:widowControl w:val="0"/>
        <w:tabs>
          <w:tab w:val="left" w:pos="720"/>
        </w:tabs>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（三）参赛人员到达比赛地要求体温正常，且“健康码”为绿码，在赴赛时要做好个人安全防范，乘坐公共交通时应注意个人防护，与他人保持合理间距。</w:t>
      </w:r>
    </w:p>
    <w:p>
      <w:pPr>
        <w:keepNext w:val="0"/>
        <w:keepLines w:val="0"/>
        <w:pageBreakBefore w:val="0"/>
        <w:widowControl w:val="0"/>
        <w:tabs>
          <w:tab w:val="left" w:pos="720"/>
        </w:tabs>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）违反防疫要求者禁止参赛，所产生的后果自负。</w:t>
      </w:r>
    </w:p>
    <w:p>
      <w:pPr>
        <w:keepNext w:val="0"/>
        <w:keepLines w:val="0"/>
        <w:pageBreakBefore w:val="0"/>
        <w:widowControl w:val="0"/>
        <w:tabs>
          <w:tab w:val="left" w:pos="720"/>
        </w:tabs>
        <w:kinsoku/>
        <w:wordWrap/>
        <w:overflowPunct/>
        <w:topLinePunct w:val="0"/>
        <w:autoSpaceDE w:val="0"/>
        <w:autoSpaceDN w:val="0"/>
        <w:bidi w:val="0"/>
        <w:adjustRightInd w:val="0"/>
        <w:spacing w:line="560" w:lineRule="exact"/>
        <w:ind w:firstLine="640" w:firstLineChars="200"/>
        <w:textAlignment w:val="auto"/>
        <w:rPr>
          <w:rFonts w:ascii="黑体" w:hAnsi="黑体" w:eastAsia="黑体"/>
          <w:bCs/>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）本防疫要求报比赛地新冠肺炎防控指挥部备案，如遇突发情况，须统一在市防控指挥部指挥下，按照应急预案，采取必要的措施。</w:t>
      </w: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其他</w:t>
      </w:r>
    </w:p>
    <w:p>
      <w:pPr>
        <w:keepNext w:val="0"/>
        <w:keepLines w:val="0"/>
        <w:pageBreakBefore w:val="0"/>
        <w:widowControl w:val="0"/>
        <w:numPr>
          <w:ilvl w:val="0"/>
          <w:numId w:val="2"/>
        </w:numPr>
        <w:kinsoku/>
        <w:wordWrap/>
        <w:overflowPunct/>
        <w:topLinePunct w:val="0"/>
        <w:bidi w:val="0"/>
        <w:snapToGrid w:val="0"/>
        <w:spacing w:line="560" w:lineRule="exact"/>
        <w:textAlignment w:val="auto"/>
        <w:rPr>
          <w:rFonts w:ascii="仿宋_GB2312" w:eastAsia="仿宋_GB2312"/>
          <w:bCs/>
          <w:sz w:val="32"/>
          <w:szCs w:val="32"/>
        </w:rPr>
      </w:pPr>
      <w:r>
        <w:rPr>
          <w:rFonts w:hint="eastAsia" w:ascii="仿宋_GB2312" w:eastAsia="仿宋_GB2312"/>
          <w:bCs/>
          <w:sz w:val="32"/>
          <w:szCs w:val="32"/>
        </w:rPr>
        <w:t>总决赛不收取报名费，各赛区参赛人员食宿、交通等所有费用自理。</w:t>
      </w:r>
      <w:r>
        <w:rPr>
          <w:rFonts w:hint="eastAsia" w:ascii="仿宋" w:hAnsi="仿宋" w:eastAsia="仿宋" w:cs="微软雅黑"/>
          <w:bCs/>
          <w:sz w:val="32"/>
          <w:szCs w:val="32"/>
        </w:rPr>
        <w:t>因</w:t>
      </w:r>
      <w:r>
        <w:rPr>
          <w:rFonts w:hint="eastAsia" w:ascii="仿宋" w:hAnsi="仿宋" w:eastAsia="仿宋"/>
          <w:bCs/>
          <w:sz w:val="32"/>
          <w:szCs w:val="32"/>
        </w:rPr>
        <w:t>疫情防控的</w:t>
      </w:r>
      <w:r>
        <w:rPr>
          <w:rFonts w:hint="eastAsia" w:ascii="仿宋" w:hAnsi="仿宋" w:eastAsia="仿宋" w:cs="微软雅黑"/>
          <w:bCs/>
          <w:sz w:val="32"/>
          <w:szCs w:val="32"/>
        </w:rPr>
        <w:t>特殊</w:t>
      </w:r>
      <w:r>
        <w:rPr>
          <w:rFonts w:hint="eastAsia" w:ascii="仿宋" w:hAnsi="仿宋" w:eastAsia="仿宋"/>
          <w:bCs/>
          <w:sz w:val="32"/>
          <w:szCs w:val="32"/>
        </w:rPr>
        <w:t>情况，本</w:t>
      </w:r>
      <w:r>
        <w:rPr>
          <w:rFonts w:hint="eastAsia" w:ascii="仿宋" w:hAnsi="仿宋" w:eastAsia="仿宋" w:cs="微软雅黑"/>
          <w:bCs/>
          <w:sz w:val="32"/>
          <w:szCs w:val="32"/>
        </w:rPr>
        <w:t>着</w:t>
      </w:r>
      <w:r>
        <w:rPr>
          <w:rFonts w:hint="eastAsia" w:ascii="仿宋" w:hAnsi="仿宋" w:eastAsia="仿宋"/>
          <w:bCs/>
          <w:sz w:val="32"/>
          <w:szCs w:val="32"/>
        </w:rPr>
        <w:t>安全可控的原则，各参赛队要按要求及时向</w:t>
      </w:r>
      <w:r>
        <w:rPr>
          <w:rFonts w:hint="eastAsia" w:ascii="仿宋" w:hAnsi="仿宋" w:eastAsia="仿宋" w:cs="微软雅黑"/>
          <w:bCs/>
          <w:sz w:val="32"/>
          <w:szCs w:val="32"/>
        </w:rPr>
        <w:t>大会</w:t>
      </w:r>
      <w:r>
        <w:rPr>
          <w:rFonts w:hint="eastAsia" w:ascii="仿宋" w:hAnsi="仿宋" w:eastAsia="仿宋"/>
          <w:bCs/>
          <w:sz w:val="32"/>
          <w:szCs w:val="32"/>
        </w:rPr>
        <w:t>提交本队</w:t>
      </w:r>
      <w:r>
        <w:rPr>
          <w:rFonts w:hint="eastAsia" w:ascii="仿宋" w:hAnsi="仿宋" w:eastAsia="仿宋" w:cs="微软雅黑"/>
          <w:bCs/>
          <w:sz w:val="32"/>
          <w:szCs w:val="32"/>
        </w:rPr>
        <w:t>住</w:t>
      </w:r>
      <w:r>
        <w:rPr>
          <w:rFonts w:hint="eastAsia" w:ascii="仿宋" w:hAnsi="仿宋" w:eastAsia="仿宋" w:cs="___WRD_EMBED_SUB_44"/>
          <w:bCs/>
          <w:sz w:val="32"/>
          <w:szCs w:val="32"/>
        </w:rPr>
        <w:t>宿</w:t>
      </w:r>
      <w:r>
        <w:rPr>
          <w:rFonts w:hint="eastAsia" w:ascii="仿宋" w:hAnsi="仿宋" w:eastAsia="仿宋"/>
          <w:bCs/>
          <w:sz w:val="32"/>
          <w:szCs w:val="32"/>
        </w:rPr>
        <w:t>相关</w:t>
      </w:r>
      <w:r>
        <w:rPr>
          <w:rFonts w:hint="eastAsia" w:ascii="仿宋" w:hAnsi="仿宋" w:eastAsia="仿宋" w:cs="微软雅黑"/>
          <w:bCs/>
          <w:sz w:val="32"/>
          <w:szCs w:val="32"/>
        </w:rPr>
        <w:t>信息</w:t>
      </w:r>
      <w:r>
        <w:rPr>
          <w:rFonts w:hint="eastAsia" w:ascii="仿宋" w:hAnsi="仿宋" w:eastAsia="仿宋" w:cs="___WRD_EMBED_SUB_44"/>
          <w:bCs/>
          <w:sz w:val="32"/>
          <w:szCs w:val="32"/>
        </w:rPr>
        <w:t>。</w:t>
      </w:r>
    </w:p>
    <w:p>
      <w:pPr>
        <w:keepNext w:val="0"/>
        <w:keepLines w:val="0"/>
        <w:pageBreakBefore w:val="0"/>
        <w:widowControl w:val="0"/>
        <w:numPr>
          <w:ilvl w:val="0"/>
          <w:numId w:val="2"/>
        </w:numPr>
        <w:kinsoku/>
        <w:wordWrap/>
        <w:overflowPunct/>
        <w:topLinePunct w:val="0"/>
        <w:bidi w:val="0"/>
        <w:snapToGrid w:val="0"/>
        <w:spacing w:line="560" w:lineRule="exact"/>
        <w:textAlignment w:val="auto"/>
        <w:rPr>
          <w:rFonts w:ascii="仿宋_GB2312" w:eastAsia="仿宋_GB2312"/>
          <w:bCs/>
          <w:sz w:val="32"/>
          <w:szCs w:val="32"/>
        </w:rPr>
      </w:pPr>
      <w:r>
        <w:rPr>
          <w:rFonts w:hint="eastAsia" w:ascii="仿宋_GB2312" w:eastAsia="仿宋_GB2312"/>
          <w:bCs/>
          <w:sz w:val="32"/>
          <w:szCs w:val="32"/>
        </w:rPr>
        <w:t>为减少竞赛期间人员聚集，各赛区比赛的领队会将视情况采用线上或线下形式进行，具体安排将及时在工作群通知。参赛模型审核，采取自审、抽审形式（个别项目必审另行通知）。检录时，运动员之间保持1米的安全距离。室内项目的比赛，赛场内只允许执裁裁判员、本批次上场的运动员进场，其他人员在室外空旷场地候场；所有参与人员必须全程佩戴口罩。观众席是否开放按当地防控部门要求执行。</w:t>
      </w:r>
    </w:p>
    <w:p>
      <w:pPr>
        <w:keepNext w:val="0"/>
        <w:keepLines w:val="0"/>
        <w:pageBreakBefore w:val="0"/>
        <w:widowControl w:val="0"/>
        <w:numPr>
          <w:ilvl w:val="0"/>
          <w:numId w:val="2"/>
        </w:numPr>
        <w:kinsoku/>
        <w:wordWrap/>
        <w:overflowPunct/>
        <w:topLinePunct w:val="0"/>
        <w:bidi w:val="0"/>
        <w:snapToGrid w:val="0"/>
        <w:spacing w:line="560" w:lineRule="exact"/>
        <w:textAlignment w:val="auto"/>
        <w:rPr>
          <w:rFonts w:ascii="仿宋_GB2312" w:eastAsia="仿宋_GB2312"/>
          <w:bCs/>
          <w:sz w:val="32"/>
          <w:szCs w:val="32"/>
        </w:rPr>
      </w:pPr>
      <w:r>
        <w:rPr>
          <w:rFonts w:hint="eastAsia" w:ascii="仿宋_GB2312" w:eastAsia="仿宋_GB2312"/>
          <w:bCs/>
          <w:sz w:val="32"/>
          <w:szCs w:val="32"/>
        </w:rPr>
        <w:t>所有参赛者有义务充分了解个人身体状况，并自主判断其身体状况是否能参与该项目。</w:t>
      </w:r>
    </w:p>
    <w:p>
      <w:pPr>
        <w:keepNext w:val="0"/>
        <w:keepLines w:val="0"/>
        <w:pageBreakBefore w:val="0"/>
        <w:widowControl w:val="0"/>
        <w:numPr>
          <w:ilvl w:val="0"/>
          <w:numId w:val="2"/>
        </w:numPr>
        <w:kinsoku/>
        <w:wordWrap/>
        <w:overflowPunct/>
        <w:topLinePunct w:val="0"/>
        <w:bidi w:val="0"/>
        <w:snapToGrid w:val="0"/>
        <w:spacing w:line="560" w:lineRule="exact"/>
        <w:textAlignment w:val="auto"/>
        <w:rPr>
          <w:rFonts w:ascii="仿宋_GB2312" w:eastAsia="仿宋_GB2312"/>
          <w:bCs/>
          <w:sz w:val="32"/>
          <w:szCs w:val="32"/>
        </w:rPr>
      </w:pPr>
      <w:r>
        <w:rPr>
          <w:rFonts w:hint="eastAsia" w:ascii="仿宋_GB2312" w:eastAsia="仿宋_GB2312"/>
          <w:bCs/>
          <w:sz w:val="32"/>
          <w:szCs w:val="32"/>
        </w:rPr>
        <w:t>参赛者默认已知晓运动风险并自愿参加，参赛期间发生的任何伤亡及意外事故均由本人负责，家属、遗嘱执行人或有关人员均不能以此为由向主办方及其他关联方提出索赔和诉讼要求。</w:t>
      </w:r>
    </w:p>
    <w:p>
      <w:pPr>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rPr>
          <w:rFonts w:ascii="黑体" w:eastAsia="黑体"/>
          <w:sz w:val="32"/>
          <w:szCs w:val="32"/>
        </w:rPr>
      </w:pPr>
      <w:r>
        <w:rPr>
          <w:rFonts w:hint="eastAsia" w:ascii="黑体" w:eastAsia="黑体"/>
          <w:sz w:val="32"/>
          <w:szCs w:val="32"/>
        </w:rPr>
        <w:t>联系方式</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联系人：王梓骅（航管中心运动三部）</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电  话：010-67050038</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邮  箱：</w:t>
      </w:r>
      <w:r>
        <w:fldChar w:fldCharType="begin"/>
      </w:r>
      <w:r>
        <w:instrText xml:space="preserve"> HYPERLINK "mailto:asfcamce@126.com" </w:instrText>
      </w:r>
      <w:r>
        <w:fldChar w:fldCharType="separate"/>
      </w:r>
      <w:r>
        <w:rPr>
          <w:rStyle w:val="6"/>
          <w:rFonts w:ascii="仿宋_GB2312" w:hAnsi="仿宋" w:eastAsia="仿宋_GB2312"/>
          <w:sz w:val="32"/>
          <w:szCs w:val="32"/>
        </w:rPr>
        <w:t>asfcamce</w:t>
      </w:r>
      <w:r>
        <w:rPr>
          <w:rStyle w:val="6"/>
          <w:rFonts w:hint="eastAsia" w:ascii="仿宋_GB2312" w:hAnsi="仿宋" w:eastAsia="仿宋_GB2312"/>
          <w:sz w:val="32"/>
          <w:szCs w:val="32"/>
        </w:rPr>
        <w:t>@126.com</w:t>
      </w:r>
      <w:r>
        <w:rPr>
          <w:rStyle w:val="6"/>
          <w:rFonts w:hint="eastAsia" w:ascii="仿宋_GB2312" w:hAnsi="仿宋" w:eastAsia="仿宋_GB2312"/>
          <w:sz w:val="32"/>
          <w:szCs w:val="32"/>
        </w:rPr>
        <w:fldChar w:fldCharType="end"/>
      </w:r>
    </w:p>
    <w:p/>
    <w:sectPr>
      <w:footerReference r:id="rId3" w:type="default"/>
      <w:pgSz w:w="11906" w:h="16838"/>
      <w:pgMar w:top="1701" w:right="1701" w:bottom="1701" w:left="1701" w:header="907" w:footer="90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15FCF5-8CD2-404C-A56A-78C15E4B47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16B95D-72B8-4EF6-B11A-26474B374D29}"/>
  </w:font>
  <w:font w:name="仿宋_GB2312">
    <w:altName w:val="仿宋"/>
    <w:panose1 w:val="00000000000000000000"/>
    <w:charset w:val="00"/>
    <w:family w:val="auto"/>
    <w:pitch w:val="default"/>
    <w:sig w:usb0="00000000" w:usb1="00000000" w:usb2="00000000" w:usb3="00000000" w:csb0="00000000" w:csb1="00000000"/>
    <w:embedRegular r:id="rId3" w:fontKey="{97469307-D98A-4DF2-AE52-4AC5F7D0A626}"/>
  </w:font>
  <w:font w:name="仿宋">
    <w:panose1 w:val="02010609060101010101"/>
    <w:charset w:val="86"/>
    <w:family w:val="auto"/>
    <w:pitch w:val="default"/>
    <w:sig w:usb0="800002BF" w:usb1="38CF7CFA" w:usb2="00000016" w:usb3="00000000" w:csb0="00040001" w:csb1="00000000"/>
    <w:embedRegular r:id="rId4" w:fontKey="{3B8ABB25-82D0-4006-8961-31AA39ADA1EC}"/>
  </w:font>
  <w:font w:name="方正小标宋简体">
    <w:panose1 w:val="02000000000000000000"/>
    <w:charset w:val="86"/>
    <w:family w:val="script"/>
    <w:pitch w:val="default"/>
    <w:sig w:usb0="00000001" w:usb1="08000000" w:usb2="00000000" w:usb3="00000000" w:csb0="00040000" w:csb1="00000000"/>
    <w:embedRegular r:id="rId5" w:fontKey="{4A1BD662-5E8D-491C-9F7B-B6D8ECDC5E57}"/>
  </w:font>
  <w:font w:name="微软雅黑">
    <w:panose1 w:val="020B0503020204020204"/>
    <w:charset w:val="86"/>
    <w:family w:val="swiss"/>
    <w:pitch w:val="default"/>
    <w:sig w:usb0="80000287" w:usb1="2ACF3C50" w:usb2="00000016" w:usb3="00000000" w:csb0="0004001F" w:csb1="00000000"/>
    <w:embedRegular r:id="rId6" w:fontKey="{A25D2E50-302D-4AAA-B3A9-F25069D9C4BE}"/>
  </w:font>
  <w:font w:name="___WRD_EMBED_SUB_44">
    <w:panose1 w:val="02010600030101010101"/>
    <w:charset w:val="86"/>
    <w:family w:val="modern"/>
    <w:pitch w:val="default"/>
    <w:sig w:usb0="00000003" w:usb1="288F0000" w:usb2="00000006" w:usb3="00000000" w:csb0="00040001" w:csb1="00000000"/>
    <w:embedRegular r:id="rId7" w:fontKey="{C3763628-7078-40A4-B740-7619616137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A1A57"/>
    <w:multiLevelType w:val="singleLevel"/>
    <w:tmpl w:val="F90A1A57"/>
    <w:lvl w:ilvl="0" w:tentative="0">
      <w:start w:val="1"/>
      <w:numFmt w:val="chineseCounting"/>
      <w:suff w:val="nothing"/>
      <w:lvlText w:val="（%1）"/>
      <w:lvlJc w:val="left"/>
      <w:pPr>
        <w:ind w:left="0" w:firstLine="420"/>
      </w:pPr>
      <w:rPr>
        <w:rFonts w:hint="eastAsia"/>
      </w:rPr>
    </w:lvl>
  </w:abstractNum>
  <w:abstractNum w:abstractNumId="1">
    <w:nsid w:val="05647844"/>
    <w:multiLevelType w:val="singleLevel"/>
    <w:tmpl w:val="05647844"/>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mNkYTY3Yjk2MDVhYjUzMjg4YWM1OWRhMWU5YWEifQ=="/>
  </w:docVars>
  <w:rsids>
    <w:rsidRoot w:val="053B2D37"/>
    <w:rsid w:val="03D57DC5"/>
    <w:rsid w:val="053B2D37"/>
    <w:rsid w:val="4E7B2369"/>
    <w:rsid w:val="6EC5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pPr>
    <w:rPr>
      <w:rFonts w:ascii="仿宋_GB2312" w:eastAsia="仿宋_GB2312"/>
      <w:sz w:val="28"/>
    </w:rPr>
  </w:style>
  <w:style w:type="paragraph" w:styleId="3">
    <w:name w:val="footer"/>
    <w:basedOn w:val="1"/>
    <w:qFormat/>
    <w:uiPriority w:val="99"/>
    <w:pPr>
      <w:tabs>
        <w:tab w:val="center" w:pos="4153"/>
        <w:tab w:val="right" w:pos="8306"/>
      </w:tabs>
      <w:snapToGrid w:val="0"/>
      <w:jc w:val="left"/>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1214</Words>
  <Characters>1246</Characters>
  <Lines>0</Lines>
  <Paragraphs>0</Paragraphs>
  <TotalTime>2</TotalTime>
  <ScaleCrop>false</ScaleCrop>
  <LinksUpToDate>false</LinksUpToDate>
  <CharactersWithSpaces>1250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2022-07-14T02:15:00Z</dcterms:created>
  <dc:creator>王梓骅</dc:creator>
  <cp:lastModifiedBy>王梓骅</cp:lastModifiedBy>
  <dcterms:modified xsi:type="dcterms:W3CDTF">2022-07-14T02:31:26Z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F05E6AA60CC4448B81B74FE7398385A3</vt:lpwstr>
  </property>
</Properties>
</file>