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D0908">
      <w:pPr>
        <w:pStyle w:val="3"/>
        <w:keepNext w:val="0"/>
        <w:keepLines w:val="0"/>
        <w:pageBreakBefore w:val="0"/>
        <w:widowControl w:val="0"/>
        <w:kinsoku/>
        <w:wordWrap/>
        <w:overflowPunct/>
        <w:topLinePunct w:val="0"/>
        <w:autoSpaceDE/>
        <w:autoSpaceDN/>
        <w:bidi w:val="0"/>
        <w:adjustRightInd/>
        <w:snapToGrid/>
        <w:ind w:left="0" w:leftChars="0" w:right="840" w:rightChars="400" w:firstLine="0" w:firstLineChars="0"/>
        <w:jc w:val="left"/>
        <w:textAlignment w:val="auto"/>
        <w:rPr>
          <w:rFonts w:hint="eastAsia" w:ascii="黑体" w:hAnsi="黑体" w:eastAsia="黑体" w:cs="黑体"/>
          <w:lang w:val="en-US" w:eastAsia="zh-CN"/>
        </w:rPr>
      </w:pPr>
      <w:r>
        <w:rPr>
          <w:rFonts w:hint="eastAsia" w:ascii="黑体" w:hAnsi="黑体" w:eastAsia="黑体" w:cs="黑体"/>
          <w:lang w:val="en-US" w:eastAsia="zh-CN"/>
        </w:rPr>
        <w:t>附件1</w:t>
      </w:r>
    </w:p>
    <w:p w14:paraId="3A1ED79E">
      <w:pPr>
        <w:pStyle w:val="3"/>
        <w:keepNext w:val="0"/>
        <w:keepLines w:val="0"/>
        <w:pageBreakBefore w:val="0"/>
        <w:widowControl w:val="0"/>
        <w:kinsoku/>
        <w:wordWrap/>
        <w:overflowPunct/>
        <w:topLinePunct w:val="0"/>
        <w:autoSpaceDE/>
        <w:autoSpaceDN/>
        <w:bidi w:val="0"/>
        <w:adjustRightInd/>
        <w:snapToGrid/>
        <w:ind w:left="0" w:leftChars="0" w:right="840" w:rightChars="400" w:firstLine="0" w:firstLineChars="0"/>
        <w:jc w:val="left"/>
        <w:textAlignment w:val="auto"/>
        <w:rPr>
          <w:rFonts w:hint="eastAsia" w:ascii="黑体" w:hAnsi="黑体" w:eastAsia="黑体" w:cs="黑体"/>
          <w:lang w:val="en-US" w:eastAsia="zh-CN"/>
        </w:rPr>
      </w:pPr>
    </w:p>
    <w:p w14:paraId="77ADD96E">
      <w:pPr>
        <w:pStyle w:val="2"/>
        <w:keepNext/>
        <w:keepLines/>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202</w:t>
      </w:r>
      <w:r>
        <w:rPr>
          <w:rFonts w:hint="eastAsia" w:ascii="方正小标宋简体" w:hAnsi="方正小标宋简体" w:eastAsia="方正小标宋简体" w:cs="方正小标宋简体"/>
          <w:b w:val="0"/>
          <w:bCs w:val="0"/>
          <w:color w:val="000000"/>
          <w:sz w:val="44"/>
          <w:szCs w:val="44"/>
          <w:lang w:val="en-US" w:eastAsia="zh-CN"/>
        </w:rPr>
        <w:t>6</w:t>
      </w:r>
      <w:r>
        <w:rPr>
          <w:rFonts w:hint="eastAsia" w:ascii="方正小标宋简体" w:hAnsi="方正小标宋简体" w:eastAsia="方正小标宋简体" w:cs="方正小标宋简体"/>
          <w:b w:val="0"/>
          <w:bCs w:val="0"/>
          <w:color w:val="000000"/>
          <w:sz w:val="44"/>
          <w:szCs w:val="44"/>
        </w:rPr>
        <w:t>年中国</w:t>
      </w:r>
      <w:bookmarkStart w:id="0" w:name="_GoBack"/>
      <w:bookmarkEnd w:id="0"/>
      <w:r>
        <w:rPr>
          <w:rFonts w:hint="eastAsia" w:ascii="方正小标宋简体" w:hAnsi="方正小标宋简体" w:eastAsia="方正小标宋简体" w:cs="方正小标宋简体"/>
          <w:b w:val="0"/>
          <w:bCs w:val="0"/>
          <w:color w:val="000000"/>
          <w:sz w:val="44"/>
          <w:szCs w:val="44"/>
        </w:rPr>
        <w:t>体育仲裁委员会</w:t>
      </w:r>
    </w:p>
    <w:p w14:paraId="2FB6B6D3">
      <w:pPr>
        <w:pStyle w:val="2"/>
        <w:keepNext/>
        <w:keepLines/>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研究咨询项目目录</w:t>
      </w:r>
    </w:p>
    <w:p w14:paraId="492EC87D">
      <w:pPr>
        <w:rPr>
          <w:rFonts w:hint="eastAsia"/>
        </w:rPr>
      </w:pPr>
    </w:p>
    <w:tbl>
      <w:tblPr>
        <w:tblStyle w:val="7"/>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639"/>
        <w:gridCol w:w="5453"/>
        <w:gridCol w:w="954"/>
        <w:gridCol w:w="1056"/>
      </w:tblGrid>
      <w:tr w14:paraId="7C28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622" w:type="dxa"/>
            <w:gridSpan w:val="5"/>
            <w:noWrap w:val="0"/>
            <w:vAlign w:val="center"/>
          </w:tcPr>
          <w:p w14:paraId="1499FE08">
            <w:pPr>
              <w:snapToGrid w:val="0"/>
              <w:spacing w:line="560" w:lineRule="exact"/>
              <w:jc w:val="center"/>
              <w:rPr>
                <w:rFonts w:ascii="仿宋_GB2312" w:hAnsi="仿宋_GB2312" w:eastAsia="仿宋_GB2312" w:cs="Times New Roman"/>
                <w:b/>
                <w:bCs/>
                <w:kern w:val="0"/>
                <w:sz w:val="30"/>
                <w:szCs w:val="30"/>
              </w:rPr>
            </w:pPr>
            <w:r>
              <w:rPr>
                <w:rFonts w:hint="eastAsia" w:ascii="黑体" w:hAnsi="黑体" w:eastAsia="黑体" w:cs="黑体"/>
                <w:b w:val="0"/>
                <w:bCs w:val="0"/>
                <w:kern w:val="0"/>
                <w:sz w:val="32"/>
                <w:szCs w:val="32"/>
              </w:rPr>
              <w:t>一、重</w:t>
            </w:r>
            <w:r>
              <w:rPr>
                <w:rFonts w:hint="eastAsia" w:ascii="黑体" w:hAnsi="黑体" w:eastAsia="黑体" w:cs="黑体"/>
                <w:b w:val="0"/>
                <w:bCs w:val="0"/>
                <w:kern w:val="0"/>
                <w:sz w:val="32"/>
                <w:szCs w:val="32"/>
                <w:lang w:val="en-US" w:eastAsia="zh-CN"/>
              </w:rPr>
              <w:t>大</w:t>
            </w:r>
            <w:r>
              <w:rPr>
                <w:rFonts w:hint="eastAsia" w:ascii="黑体" w:hAnsi="黑体" w:eastAsia="黑体" w:cs="黑体"/>
                <w:b w:val="0"/>
                <w:bCs w:val="0"/>
                <w:kern w:val="0"/>
                <w:sz w:val="32"/>
                <w:szCs w:val="32"/>
              </w:rPr>
              <w:t>项目（</w:t>
            </w:r>
            <w:r>
              <w:rPr>
                <w:rFonts w:hint="eastAsia" w:ascii="黑体" w:hAnsi="黑体" w:eastAsia="黑体" w:cs="黑体"/>
                <w:b w:val="0"/>
                <w:bCs w:val="0"/>
                <w:kern w:val="0"/>
                <w:sz w:val="32"/>
                <w:szCs w:val="32"/>
                <w:lang w:val="en-US" w:eastAsia="zh-CN"/>
              </w:rPr>
              <w:t>1</w:t>
            </w:r>
            <w:r>
              <w:rPr>
                <w:rFonts w:hint="eastAsia" w:ascii="黑体" w:hAnsi="黑体" w:eastAsia="黑体" w:cs="黑体"/>
                <w:b w:val="0"/>
                <w:bCs w:val="0"/>
                <w:kern w:val="0"/>
                <w:sz w:val="32"/>
                <w:szCs w:val="32"/>
              </w:rPr>
              <w:t>个）</w:t>
            </w:r>
          </w:p>
        </w:tc>
      </w:tr>
      <w:tr w14:paraId="0544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0" w:type="dxa"/>
            <w:noWrap w:val="0"/>
            <w:vAlign w:val="center"/>
          </w:tcPr>
          <w:p w14:paraId="6E3D9D61">
            <w:pPr>
              <w:snapToGrid w:val="0"/>
              <w:spacing w:line="560" w:lineRule="exact"/>
              <w:jc w:val="center"/>
              <w:rPr>
                <w:rFonts w:ascii="仿宋_GB2312" w:hAnsi="仿宋_GB2312" w:eastAsia="仿宋_GB2312" w:cs="Times New Roman"/>
                <w:kern w:val="0"/>
                <w:sz w:val="30"/>
                <w:szCs w:val="30"/>
              </w:rPr>
            </w:pPr>
            <w:r>
              <w:rPr>
                <w:rFonts w:ascii="仿宋_GB2312" w:hAnsi="仿宋_GB2312" w:eastAsia="仿宋_GB2312" w:cs="Times New Roman"/>
                <w:kern w:val="0"/>
                <w:sz w:val="30"/>
                <w:szCs w:val="30"/>
              </w:rPr>
              <w:t>序号</w:t>
            </w:r>
          </w:p>
        </w:tc>
        <w:tc>
          <w:tcPr>
            <w:tcW w:w="1639" w:type="dxa"/>
            <w:noWrap w:val="0"/>
            <w:vAlign w:val="center"/>
          </w:tcPr>
          <w:p w14:paraId="5A3C1660">
            <w:pPr>
              <w:snapToGrid w:val="0"/>
              <w:spacing w:line="560" w:lineRule="exact"/>
              <w:jc w:val="center"/>
              <w:rPr>
                <w:rFonts w:ascii="仿宋_GB2312" w:hAnsi="仿宋_GB2312" w:eastAsia="仿宋_GB2312" w:cs="Times New Roman"/>
                <w:kern w:val="0"/>
                <w:sz w:val="30"/>
                <w:szCs w:val="30"/>
              </w:rPr>
            </w:pPr>
            <w:r>
              <w:rPr>
                <w:rFonts w:ascii="仿宋_GB2312" w:hAnsi="仿宋_GB2312" w:eastAsia="仿宋_GB2312" w:cs="Times New Roman"/>
                <w:kern w:val="0"/>
                <w:sz w:val="30"/>
                <w:szCs w:val="30"/>
              </w:rPr>
              <w:t>选题名称</w:t>
            </w:r>
          </w:p>
        </w:tc>
        <w:tc>
          <w:tcPr>
            <w:tcW w:w="5453" w:type="dxa"/>
            <w:noWrap w:val="0"/>
            <w:vAlign w:val="center"/>
          </w:tcPr>
          <w:p w14:paraId="4467A71A">
            <w:pPr>
              <w:snapToGrid w:val="0"/>
              <w:spacing w:line="560" w:lineRule="exact"/>
              <w:jc w:val="center"/>
              <w:rPr>
                <w:rFonts w:ascii="仿宋_GB2312" w:hAnsi="仿宋_GB2312" w:eastAsia="仿宋_GB2312" w:cs="Times New Roman"/>
                <w:kern w:val="0"/>
                <w:sz w:val="30"/>
                <w:szCs w:val="30"/>
              </w:rPr>
            </w:pPr>
            <w:r>
              <w:rPr>
                <w:rFonts w:ascii="仿宋_GB2312" w:hAnsi="仿宋_GB2312" w:eastAsia="仿宋_GB2312" w:cs="Times New Roman"/>
                <w:kern w:val="0"/>
                <w:sz w:val="30"/>
                <w:szCs w:val="30"/>
              </w:rPr>
              <w:t>研究重点</w:t>
            </w:r>
          </w:p>
        </w:tc>
        <w:tc>
          <w:tcPr>
            <w:tcW w:w="954" w:type="dxa"/>
            <w:noWrap w:val="0"/>
            <w:vAlign w:val="center"/>
          </w:tcPr>
          <w:p w14:paraId="10150B1E">
            <w:pPr>
              <w:snapToGrid w:val="0"/>
              <w:spacing w:line="560" w:lineRule="exact"/>
              <w:jc w:val="center"/>
              <w:rPr>
                <w:rFonts w:ascii="仿宋_GB2312" w:hAnsi="仿宋_GB2312" w:eastAsia="仿宋_GB2312" w:cs="Times New Roman"/>
                <w:kern w:val="0"/>
                <w:sz w:val="30"/>
                <w:szCs w:val="30"/>
              </w:rPr>
            </w:pPr>
            <w:r>
              <w:rPr>
                <w:rFonts w:ascii="仿宋_GB2312" w:hAnsi="仿宋_GB2312" w:eastAsia="仿宋_GB2312" w:cs="Times New Roman"/>
                <w:kern w:val="0"/>
                <w:sz w:val="30"/>
                <w:szCs w:val="30"/>
              </w:rPr>
              <w:t>承接方式</w:t>
            </w:r>
          </w:p>
        </w:tc>
        <w:tc>
          <w:tcPr>
            <w:tcW w:w="1056" w:type="dxa"/>
            <w:noWrap w:val="0"/>
            <w:vAlign w:val="center"/>
          </w:tcPr>
          <w:p w14:paraId="65ACAA94">
            <w:pPr>
              <w:snapToGrid w:val="0"/>
              <w:spacing w:line="560" w:lineRule="exact"/>
              <w:jc w:val="center"/>
              <w:rPr>
                <w:rFonts w:hint="default" w:ascii="仿宋_GB2312" w:hAnsi="仿宋_GB2312" w:eastAsia="仿宋_GB2312" w:cs="Times New Roman"/>
                <w:kern w:val="0"/>
                <w:sz w:val="30"/>
                <w:szCs w:val="30"/>
                <w:lang w:val="en-US" w:eastAsia="zh-CN"/>
              </w:rPr>
            </w:pPr>
            <w:r>
              <w:rPr>
                <w:rFonts w:hint="eastAsia" w:ascii="仿宋_GB2312" w:hAnsi="仿宋_GB2312" w:eastAsia="仿宋_GB2312" w:cs="Times New Roman"/>
                <w:kern w:val="0"/>
                <w:sz w:val="30"/>
                <w:szCs w:val="30"/>
                <w:lang w:val="en-US" w:eastAsia="zh-CN"/>
              </w:rPr>
              <w:t>项目编号</w:t>
            </w:r>
          </w:p>
        </w:tc>
      </w:tr>
      <w:tr w14:paraId="3C8C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5" w:hRule="atLeast"/>
          <w:jc w:val="center"/>
        </w:trPr>
        <w:tc>
          <w:tcPr>
            <w:tcW w:w="520" w:type="dxa"/>
            <w:noWrap w:val="0"/>
            <w:vAlign w:val="center"/>
          </w:tcPr>
          <w:p w14:paraId="33476294">
            <w:pPr>
              <w:snapToGrid w:val="0"/>
              <w:spacing w:line="560" w:lineRule="exact"/>
              <w:jc w:val="center"/>
              <w:rPr>
                <w:rFonts w:hint="eastAsia" w:ascii="仿宋_GB2312" w:hAnsi="仿宋_GB2312" w:eastAsia="仿宋_GB2312" w:cs="Times New Roman"/>
                <w:kern w:val="0"/>
                <w:sz w:val="30"/>
                <w:szCs w:val="30"/>
              </w:rPr>
            </w:pPr>
            <w:r>
              <w:rPr>
                <w:rFonts w:hint="eastAsia" w:ascii="仿宋_GB2312" w:hAnsi="仿宋_GB2312" w:eastAsia="仿宋_GB2312" w:cs="Times New Roman"/>
                <w:kern w:val="0"/>
                <w:sz w:val="30"/>
                <w:szCs w:val="30"/>
              </w:rPr>
              <w:t>1</w:t>
            </w:r>
          </w:p>
        </w:tc>
        <w:tc>
          <w:tcPr>
            <w:tcW w:w="1639" w:type="dxa"/>
            <w:noWrap w:val="0"/>
            <w:vAlign w:val="center"/>
          </w:tcPr>
          <w:p w14:paraId="6C829336">
            <w:pPr>
              <w:snapToGrid w:val="0"/>
              <w:spacing w:line="560" w:lineRule="exact"/>
              <w:jc w:val="center"/>
              <w:rPr>
                <w:rFonts w:hint="default" w:ascii="仿宋_GB2312" w:hAnsi="仿宋_GB2312" w:eastAsia="仿宋_GB2312" w:cs="Times New Roman"/>
                <w:kern w:val="0"/>
                <w:sz w:val="30"/>
                <w:szCs w:val="30"/>
                <w:lang w:val="en-US"/>
              </w:rPr>
            </w:pPr>
            <w:r>
              <w:rPr>
                <w:rFonts w:hint="eastAsia" w:ascii="仿宋_GB2312" w:hAnsi="仿宋_GB2312" w:eastAsia="仿宋_GB2312" w:cs="Times New Roman"/>
                <w:kern w:val="0"/>
                <w:sz w:val="30"/>
                <w:szCs w:val="30"/>
                <w:lang w:val="en-US" w:eastAsia="zh-CN"/>
              </w:rPr>
              <w:t>《体育仲裁规则》修订研究</w:t>
            </w:r>
          </w:p>
        </w:tc>
        <w:tc>
          <w:tcPr>
            <w:tcW w:w="5453" w:type="dxa"/>
            <w:noWrap w:val="0"/>
            <w:vAlign w:val="center"/>
          </w:tcPr>
          <w:p w14:paraId="7396C65E">
            <w:pPr>
              <w:snapToGrid w:val="0"/>
              <w:spacing w:line="560" w:lineRule="exact"/>
              <w:jc w:val="both"/>
              <w:rPr>
                <w:rFonts w:ascii="仿宋_GB2312" w:hAnsi="仿宋_GB2312" w:eastAsia="仿宋_GB2312" w:cs="Times New Roman"/>
                <w:kern w:val="0"/>
                <w:sz w:val="30"/>
                <w:szCs w:val="30"/>
              </w:rPr>
            </w:pPr>
            <w:r>
              <w:rPr>
                <w:rFonts w:hint="eastAsia" w:ascii="仿宋_GB2312" w:hAnsi="仿宋_GB2312" w:eastAsia="仿宋_GB2312" w:cs="Times New Roman"/>
                <w:kern w:val="0"/>
                <w:sz w:val="30"/>
                <w:szCs w:val="30"/>
                <w:lang w:val="en-US" w:eastAsia="zh-CN"/>
              </w:rPr>
              <w:t>本选题立足体育仲裁实践，系统开展规则修订研究。对现行规则进行系统检视，围绕体育仲裁核心制度开展比较法研究，对条文修改补充进行梳理评估，提出规则修订的系统性方案，增强规则的适用性与可操作性，为《体育仲裁规则》修订工作提供理论支撑与制度建议。</w:t>
            </w:r>
          </w:p>
        </w:tc>
        <w:tc>
          <w:tcPr>
            <w:tcW w:w="954" w:type="dxa"/>
            <w:noWrap w:val="0"/>
            <w:vAlign w:val="center"/>
          </w:tcPr>
          <w:p w14:paraId="5A7B8554">
            <w:pPr>
              <w:snapToGrid w:val="0"/>
              <w:spacing w:line="560" w:lineRule="exact"/>
              <w:jc w:val="center"/>
              <w:rPr>
                <w:rFonts w:ascii="仿宋_GB2312" w:hAnsi="仿宋_GB2312" w:eastAsia="仿宋_GB2312" w:cs="Times New Roman"/>
                <w:kern w:val="0"/>
                <w:sz w:val="30"/>
                <w:szCs w:val="30"/>
              </w:rPr>
            </w:pPr>
            <w:r>
              <w:rPr>
                <w:rFonts w:hint="eastAsia" w:ascii="仿宋_GB2312" w:hAnsi="仿宋_GB2312" w:eastAsia="仿宋_GB2312" w:cs="Times New Roman"/>
                <w:kern w:val="0"/>
                <w:sz w:val="30"/>
                <w:szCs w:val="30"/>
                <w:lang w:val="en-US" w:eastAsia="zh-CN"/>
              </w:rPr>
              <w:t>委托</w:t>
            </w:r>
          </w:p>
        </w:tc>
        <w:tc>
          <w:tcPr>
            <w:tcW w:w="1056" w:type="dxa"/>
            <w:noWrap w:val="0"/>
            <w:vAlign w:val="center"/>
          </w:tcPr>
          <w:p w14:paraId="148F4C1F">
            <w:pPr>
              <w:snapToGrid w:val="0"/>
              <w:spacing w:line="560" w:lineRule="exact"/>
              <w:jc w:val="center"/>
              <w:rPr>
                <w:rFonts w:ascii="仿宋_GB2312" w:hAnsi="仿宋_GB2312" w:eastAsia="仿宋_GB2312" w:cs="Times New Roman"/>
                <w:kern w:val="0"/>
                <w:sz w:val="30"/>
                <w:szCs w:val="30"/>
              </w:rPr>
            </w:pPr>
            <w:r>
              <w:rPr>
                <w:rFonts w:hint="eastAsia" w:ascii="仿宋_GB2312" w:hAnsi="仿宋_GB2312" w:eastAsia="仿宋_GB2312" w:cs="Times New Roman"/>
                <w:kern w:val="0"/>
                <w:sz w:val="30"/>
                <w:szCs w:val="30"/>
                <w:lang w:val="en-US" w:eastAsia="zh-CN"/>
              </w:rPr>
              <w:t>2026A01</w:t>
            </w:r>
          </w:p>
        </w:tc>
      </w:tr>
      <w:tr w14:paraId="7D2E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622" w:type="dxa"/>
            <w:gridSpan w:val="5"/>
            <w:noWrap w:val="0"/>
            <w:vAlign w:val="center"/>
          </w:tcPr>
          <w:p w14:paraId="26059234">
            <w:pPr>
              <w:snapToGrid w:val="0"/>
              <w:spacing w:line="560" w:lineRule="exact"/>
              <w:jc w:val="center"/>
              <w:rPr>
                <w:rFonts w:ascii="仿宋_GB2312" w:hAnsi="仿宋_GB2312" w:eastAsia="仿宋_GB2312" w:cs="Times New Roman"/>
                <w:b/>
                <w:bCs/>
                <w:kern w:val="0"/>
                <w:sz w:val="30"/>
                <w:szCs w:val="30"/>
              </w:rPr>
            </w:pPr>
            <w:r>
              <w:rPr>
                <w:rFonts w:hint="eastAsia" w:ascii="黑体" w:hAnsi="黑体" w:eastAsia="黑体" w:cs="黑体"/>
                <w:b w:val="0"/>
                <w:bCs w:val="0"/>
                <w:kern w:val="0"/>
                <w:sz w:val="32"/>
                <w:szCs w:val="32"/>
              </w:rPr>
              <w:t>二、一般项目（4个）</w:t>
            </w:r>
          </w:p>
        </w:tc>
      </w:tr>
      <w:tr w14:paraId="79E8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0" w:type="dxa"/>
            <w:noWrap w:val="0"/>
            <w:vAlign w:val="center"/>
          </w:tcPr>
          <w:p w14:paraId="45169978">
            <w:pPr>
              <w:snapToGrid w:val="0"/>
              <w:spacing w:line="560" w:lineRule="exact"/>
              <w:jc w:val="center"/>
              <w:rPr>
                <w:rFonts w:ascii="仿宋_GB2312" w:hAnsi="仿宋_GB2312" w:eastAsia="仿宋_GB2312" w:cs="Times New Roman"/>
                <w:kern w:val="0"/>
                <w:sz w:val="30"/>
                <w:szCs w:val="30"/>
              </w:rPr>
            </w:pPr>
            <w:r>
              <w:rPr>
                <w:rFonts w:hint="eastAsia" w:ascii="仿宋_GB2312" w:hAnsi="仿宋_GB2312" w:eastAsia="仿宋_GB2312" w:cs="Times New Roman"/>
                <w:kern w:val="0"/>
                <w:sz w:val="30"/>
                <w:szCs w:val="30"/>
              </w:rPr>
              <w:t>1</w:t>
            </w:r>
          </w:p>
        </w:tc>
        <w:tc>
          <w:tcPr>
            <w:tcW w:w="1639" w:type="dxa"/>
            <w:noWrap w:val="0"/>
            <w:vAlign w:val="center"/>
          </w:tcPr>
          <w:p w14:paraId="6DC85C6C">
            <w:pPr>
              <w:snapToGrid w:val="0"/>
              <w:spacing w:line="560" w:lineRule="exact"/>
              <w:jc w:val="center"/>
              <w:rPr>
                <w:rFonts w:hint="eastAsia" w:ascii="仿宋_GB2312" w:hAnsi="仿宋_GB2312" w:eastAsia="仿宋_GB2312" w:cs="Times New Roman"/>
                <w:kern w:val="0"/>
                <w:sz w:val="30"/>
                <w:szCs w:val="30"/>
              </w:rPr>
            </w:pPr>
            <w:r>
              <w:rPr>
                <w:rFonts w:hint="eastAsia" w:ascii="仿宋_GB2312" w:hAnsi="仿宋_GB2312" w:eastAsia="仿宋_GB2312" w:cs="Times New Roman"/>
                <w:kern w:val="0"/>
                <w:sz w:val="30"/>
                <w:szCs w:val="30"/>
              </w:rPr>
              <w:t>国际体育仲裁院（CAS）足球青训补偿案件裁决研究</w:t>
            </w:r>
          </w:p>
        </w:tc>
        <w:tc>
          <w:tcPr>
            <w:tcW w:w="5453" w:type="dxa"/>
            <w:noWrap w:val="0"/>
            <w:vAlign w:val="center"/>
          </w:tcPr>
          <w:p w14:paraId="4DD76A09">
            <w:pPr>
              <w:snapToGrid w:val="0"/>
              <w:spacing w:line="560" w:lineRule="exact"/>
              <w:jc w:val="both"/>
              <w:rPr>
                <w:rFonts w:hint="eastAsia" w:ascii="仿宋_GB2312" w:hAnsi="仿宋_GB2312" w:eastAsia="仿宋_GB2312" w:cs="Times New Roman"/>
                <w:kern w:val="0"/>
                <w:sz w:val="30"/>
                <w:szCs w:val="30"/>
              </w:rPr>
            </w:pPr>
            <w:r>
              <w:rPr>
                <w:rFonts w:hint="eastAsia" w:ascii="仿宋_GB2312" w:hAnsi="仿宋_GB2312" w:eastAsia="仿宋_GB2312" w:cs="Times New Roman"/>
                <w:kern w:val="0"/>
                <w:sz w:val="30"/>
                <w:szCs w:val="30"/>
                <w:lang w:val="en-US" w:eastAsia="zh-CN"/>
              </w:rPr>
              <w:t>本选题全面检索CAS足球青训补偿（compensation for training）案件的仲裁裁决，分类分析案件争议焦点与裁判要旨。重点包括梳理CAS对青训补偿案件中核心概念的认定标准、归纳责任划分与证明责任等关键问题的裁判规则与裁判要旨、提炼具有针对性与可操作性的审查要点及规则适用建议，为仲裁庭处理同类争议提供有益参考。</w:t>
            </w:r>
          </w:p>
        </w:tc>
        <w:tc>
          <w:tcPr>
            <w:tcW w:w="954" w:type="dxa"/>
            <w:noWrap w:val="0"/>
            <w:vAlign w:val="center"/>
          </w:tcPr>
          <w:p w14:paraId="1C288DAD">
            <w:pPr>
              <w:snapToGrid w:val="0"/>
              <w:spacing w:line="560" w:lineRule="exact"/>
              <w:jc w:val="center"/>
              <w:rPr>
                <w:rFonts w:ascii="仿宋_GB2312" w:hAnsi="仿宋_GB2312" w:eastAsia="仿宋_GB2312" w:cs="Times New Roman"/>
                <w:kern w:val="0"/>
                <w:sz w:val="30"/>
                <w:szCs w:val="30"/>
              </w:rPr>
            </w:pPr>
            <w:r>
              <w:rPr>
                <w:rFonts w:ascii="仿宋_GB2312" w:hAnsi="仿宋_GB2312" w:eastAsia="仿宋_GB2312" w:cs="Times New Roman"/>
                <w:kern w:val="0"/>
                <w:sz w:val="30"/>
                <w:szCs w:val="30"/>
              </w:rPr>
              <w:t>公开招标</w:t>
            </w:r>
          </w:p>
        </w:tc>
        <w:tc>
          <w:tcPr>
            <w:tcW w:w="1056" w:type="dxa"/>
            <w:noWrap w:val="0"/>
            <w:vAlign w:val="center"/>
          </w:tcPr>
          <w:p w14:paraId="5B153C84">
            <w:pPr>
              <w:snapToGrid w:val="0"/>
              <w:spacing w:line="560" w:lineRule="exact"/>
              <w:jc w:val="center"/>
              <w:rPr>
                <w:rFonts w:ascii="仿宋_GB2312" w:hAnsi="仿宋_GB2312" w:eastAsia="仿宋_GB2312" w:cs="Times New Roman"/>
                <w:kern w:val="0"/>
                <w:sz w:val="30"/>
                <w:szCs w:val="30"/>
              </w:rPr>
            </w:pPr>
            <w:r>
              <w:rPr>
                <w:rFonts w:hint="eastAsia" w:ascii="仿宋_GB2312" w:hAnsi="仿宋_GB2312" w:eastAsia="仿宋_GB2312" w:cs="Times New Roman"/>
                <w:kern w:val="0"/>
                <w:sz w:val="30"/>
                <w:szCs w:val="30"/>
                <w:lang w:val="en-US" w:eastAsia="zh-CN"/>
              </w:rPr>
              <w:t>2026C01</w:t>
            </w:r>
          </w:p>
        </w:tc>
      </w:tr>
      <w:tr w14:paraId="4EFB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0" w:type="dxa"/>
            <w:noWrap w:val="0"/>
            <w:vAlign w:val="center"/>
          </w:tcPr>
          <w:p w14:paraId="0C0F7A17">
            <w:pPr>
              <w:snapToGrid w:val="0"/>
              <w:spacing w:line="560" w:lineRule="exact"/>
              <w:jc w:val="center"/>
              <w:rPr>
                <w:rFonts w:ascii="仿宋_GB2312" w:hAnsi="仿宋_GB2312" w:eastAsia="仿宋_GB2312" w:cs="Times New Roman"/>
                <w:kern w:val="0"/>
                <w:sz w:val="30"/>
                <w:szCs w:val="30"/>
              </w:rPr>
            </w:pPr>
            <w:r>
              <w:rPr>
                <w:rFonts w:hint="eastAsia" w:ascii="仿宋_GB2312" w:hAnsi="仿宋_GB2312" w:eastAsia="仿宋_GB2312" w:cs="Times New Roman"/>
                <w:kern w:val="0"/>
                <w:sz w:val="30"/>
                <w:szCs w:val="30"/>
              </w:rPr>
              <w:t>2</w:t>
            </w:r>
          </w:p>
        </w:tc>
        <w:tc>
          <w:tcPr>
            <w:tcW w:w="1639" w:type="dxa"/>
            <w:noWrap w:val="0"/>
            <w:vAlign w:val="center"/>
          </w:tcPr>
          <w:p w14:paraId="45D65120">
            <w:pPr>
              <w:snapToGrid w:val="0"/>
              <w:spacing w:line="560" w:lineRule="exact"/>
              <w:jc w:val="center"/>
              <w:rPr>
                <w:rFonts w:ascii="仿宋_GB2312" w:hAnsi="仿宋_GB2312" w:eastAsia="仿宋_GB2312" w:cs="Times New Roman"/>
                <w:kern w:val="0"/>
                <w:sz w:val="30"/>
                <w:szCs w:val="30"/>
              </w:rPr>
            </w:pPr>
            <w:r>
              <w:rPr>
                <w:rFonts w:hint="eastAsia" w:ascii="仿宋_GB2312" w:hAnsi="仿宋_GB2312" w:eastAsia="仿宋_GB2312" w:cs="Times New Roman"/>
                <w:kern w:val="0"/>
                <w:sz w:val="30"/>
                <w:szCs w:val="30"/>
                <w:lang w:val="en-US" w:eastAsia="zh-CN"/>
              </w:rPr>
              <w:t>体育仲裁中</w:t>
            </w:r>
            <w:r>
              <w:rPr>
                <w:rFonts w:hint="eastAsia" w:ascii="仿宋_GB2312" w:hAnsi="仿宋_GB2312" w:eastAsia="仿宋_GB2312" w:cs="Times New Roman"/>
                <w:kern w:val="0"/>
                <w:sz w:val="30"/>
                <w:szCs w:val="30"/>
              </w:rPr>
              <w:t>仲裁庭职权行使的范围与边界研究</w:t>
            </w:r>
          </w:p>
        </w:tc>
        <w:tc>
          <w:tcPr>
            <w:tcW w:w="5453" w:type="dxa"/>
            <w:noWrap w:val="0"/>
            <w:vAlign w:val="center"/>
          </w:tcPr>
          <w:p w14:paraId="5502F44C">
            <w:pPr>
              <w:snapToGrid w:val="0"/>
              <w:spacing w:line="560" w:lineRule="exact"/>
              <w:jc w:val="both"/>
              <w:rPr>
                <w:rFonts w:hint="eastAsia" w:ascii="仿宋_GB2312" w:hAnsi="仿宋_GB2312" w:eastAsia="仿宋_GB2312" w:cs="Times New Roman"/>
                <w:kern w:val="0"/>
                <w:sz w:val="30"/>
                <w:szCs w:val="30"/>
              </w:rPr>
            </w:pPr>
            <w:r>
              <w:rPr>
                <w:rFonts w:hint="eastAsia" w:ascii="仿宋_GB2312" w:hAnsi="仿宋_GB2312" w:eastAsia="仿宋_GB2312" w:cs="Times New Roman"/>
                <w:kern w:val="0"/>
                <w:sz w:val="30"/>
                <w:szCs w:val="30"/>
                <w:lang w:val="en-US" w:eastAsia="zh-CN"/>
              </w:rPr>
              <w:t>本选题聚焦现行国内外体育仲裁机构及主要商事仲裁机构规则中关于仲裁庭调查权、取证权、释明权等核心职权的制度规定，并结合司法审查的案例分析，归纳实践中行使上述职权不规范、边界模糊等导致裁决被撤销的问题，在此基础上提炼仲裁庭行使职权关键点，厘清权力边界，为规范仲裁程序、保障当事人程序权利提供制度参考。</w:t>
            </w:r>
          </w:p>
        </w:tc>
        <w:tc>
          <w:tcPr>
            <w:tcW w:w="954" w:type="dxa"/>
            <w:noWrap w:val="0"/>
            <w:vAlign w:val="center"/>
          </w:tcPr>
          <w:p w14:paraId="2DCDD1C6">
            <w:pPr>
              <w:snapToGrid w:val="0"/>
              <w:spacing w:line="560" w:lineRule="exact"/>
              <w:jc w:val="center"/>
              <w:rPr>
                <w:rFonts w:ascii="仿宋_GB2312" w:hAnsi="仿宋_GB2312" w:eastAsia="仿宋_GB2312" w:cs="Times New Roman"/>
                <w:kern w:val="0"/>
                <w:sz w:val="30"/>
                <w:szCs w:val="30"/>
              </w:rPr>
            </w:pPr>
            <w:r>
              <w:rPr>
                <w:rFonts w:ascii="仿宋_GB2312" w:hAnsi="仿宋_GB2312" w:eastAsia="仿宋_GB2312" w:cs="Times New Roman"/>
                <w:kern w:val="0"/>
                <w:sz w:val="30"/>
                <w:szCs w:val="30"/>
              </w:rPr>
              <w:t>公开招标</w:t>
            </w:r>
          </w:p>
        </w:tc>
        <w:tc>
          <w:tcPr>
            <w:tcW w:w="1056" w:type="dxa"/>
            <w:noWrap w:val="0"/>
            <w:vAlign w:val="center"/>
          </w:tcPr>
          <w:p w14:paraId="5C9C778B">
            <w:pPr>
              <w:snapToGrid w:val="0"/>
              <w:spacing w:line="560" w:lineRule="exact"/>
              <w:jc w:val="center"/>
              <w:rPr>
                <w:rFonts w:ascii="仿宋_GB2312" w:hAnsi="仿宋_GB2312" w:eastAsia="仿宋_GB2312" w:cs="Times New Roman"/>
                <w:kern w:val="0"/>
                <w:sz w:val="30"/>
                <w:szCs w:val="30"/>
              </w:rPr>
            </w:pPr>
            <w:r>
              <w:rPr>
                <w:rFonts w:hint="eastAsia" w:ascii="仿宋_GB2312" w:hAnsi="仿宋_GB2312" w:eastAsia="仿宋_GB2312" w:cs="Times New Roman"/>
                <w:kern w:val="0"/>
                <w:sz w:val="30"/>
                <w:szCs w:val="30"/>
                <w:lang w:val="en-US" w:eastAsia="zh-CN"/>
              </w:rPr>
              <w:t>2026C02</w:t>
            </w:r>
          </w:p>
        </w:tc>
      </w:tr>
      <w:tr w14:paraId="1034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6" w:hRule="atLeast"/>
          <w:jc w:val="center"/>
        </w:trPr>
        <w:tc>
          <w:tcPr>
            <w:tcW w:w="520" w:type="dxa"/>
            <w:noWrap w:val="0"/>
            <w:vAlign w:val="center"/>
          </w:tcPr>
          <w:p w14:paraId="565BF388">
            <w:pPr>
              <w:snapToGrid w:val="0"/>
              <w:spacing w:line="560" w:lineRule="exact"/>
              <w:jc w:val="center"/>
              <w:rPr>
                <w:rFonts w:ascii="仿宋_GB2312" w:hAnsi="仿宋_GB2312" w:eastAsia="仿宋_GB2312" w:cs="Times New Roman"/>
                <w:kern w:val="0"/>
                <w:sz w:val="30"/>
                <w:szCs w:val="30"/>
              </w:rPr>
            </w:pPr>
            <w:r>
              <w:rPr>
                <w:rFonts w:hint="eastAsia" w:ascii="仿宋_GB2312" w:hAnsi="仿宋_GB2312" w:eastAsia="仿宋_GB2312" w:cs="Times New Roman"/>
                <w:kern w:val="0"/>
                <w:sz w:val="30"/>
                <w:szCs w:val="30"/>
              </w:rPr>
              <w:t>3</w:t>
            </w:r>
          </w:p>
        </w:tc>
        <w:tc>
          <w:tcPr>
            <w:tcW w:w="1639" w:type="dxa"/>
            <w:noWrap w:val="0"/>
            <w:vAlign w:val="center"/>
          </w:tcPr>
          <w:p w14:paraId="702199FF">
            <w:pPr>
              <w:snapToGrid w:val="0"/>
              <w:spacing w:line="560" w:lineRule="exact"/>
              <w:jc w:val="center"/>
              <w:rPr>
                <w:rFonts w:ascii="仿宋_GB2312" w:hAnsi="仿宋_GB2312" w:eastAsia="仿宋_GB2312" w:cs="Times New Roman"/>
                <w:kern w:val="0"/>
                <w:sz w:val="30"/>
                <w:szCs w:val="30"/>
              </w:rPr>
            </w:pPr>
            <w:r>
              <w:rPr>
                <w:rFonts w:hint="eastAsia" w:ascii="仿宋_GB2312" w:hAnsi="仿宋_GB2312" w:eastAsia="仿宋_GB2312" w:cs="Times New Roman"/>
                <w:kern w:val="0"/>
                <w:sz w:val="30"/>
                <w:szCs w:val="30"/>
              </w:rPr>
              <w:t>我国体育仲裁人才队伍培养模式优化与体系建设</w:t>
            </w:r>
          </w:p>
        </w:tc>
        <w:tc>
          <w:tcPr>
            <w:tcW w:w="5453" w:type="dxa"/>
            <w:noWrap w:val="0"/>
            <w:vAlign w:val="center"/>
          </w:tcPr>
          <w:p w14:paraId="7F645360">
            <w:pPr>
              <w:snapToGrid w:val="0"/>
              <w:spacing w:line="560" w:lineRule="exact"/>
              <w:jc w:val="both"/>
              <w:rPr>
                <w:rFonts w:hint="eastAsia" w:ascii="仿宋_GB2312" w:hAnsi="仿宋_GB2312" w:eastAsia="仿宋_GB2312" w:cs="Times New Roman"/>
                <w:kern w:val="0"/>
                <w:sz w:val="30"/>
                <w:szCs w:val="30"/>
                <w:lang w:val="en-US" w:eastAsia="zh-CN"/>
              </w:rPr>
            </w:pPr>
            <w:r>
              <w:rPr>
                <w:rFonts w:hint="eastAsia" w:ascii="仿宋_GB2312" w:hAnsi="仿宋_GB2312" w:eastAsia="仿宋_GB2312" w:cs="Times New Roman"/>
                <w:kern w:val="0"/>
                <w:sz w:val="30"/>
                <w:szCs w:val="30"/>
                <w:lang w:val="en-US" w:eastAsia="zh-CN"/>
              </w:rPr>
              <w:t>本选题聚焦体育仲裁人才队伍培养，以形成系统化的课程大纲与培训内容为核心目标。研究重点包括梳理现有仲裁员、仲裁秘书等人才队伍的培养现状，构建分层分类的培训体系，围绕仲裁理论、规则适用、案例解析、职业道德等模块，设计系统化的课程培训内容和大纲，形成可复制、可推广的培养方案，为我国体育仲裁人才队伍建设提供制度支撑。</w:t>
            </w:r>
          </w:p>
        </w:tc>
        <w:tc>
          <w:tcPr>
            <w:tcW w:w="954" w:type="dxa"/>
            <w:noWrap w:val="0"/>
            <w:vAlign w:val="center"/>
          </w:tcPr>
          <w:p w14:paraId="143E203E">
            <w:pPr>
              <w:snapToGrid w:val="0"/>
              <w:spacing w:line="560" w:lineRule="exact"/>
              <w:jc w:val="center"/>
              <w:rPr>
                <w:rFonts w:ascii="仿宋_GB2312" w:hAnsi="仿宋_GB2312" w:eastAsia="仿宋_GB2312" w:cs="Times New Roman"/>
                <w:kern w:val="0"/>
                <w:sz w:val="30"/>
                <w:szCs w:val="30"/>
              </w:rPr>
            </w:pPr>
            <w:r>
              <w:rPr>
                <w:rFonts w:ascii="仿宋_GB2312" w:hAnsi="仿宋_GB2312" w:eastAsia="仿宋_GB2312" w:cs="Times New Roman"/>
                <w:kern w:val="0"/>
                <w:sz w:val="30"/>
                <w:szCs w:val="30"/>
              </w:rPr>
              <w:t>公开招标</w:t>
            </w:r>
          </w:p>
        </w:tc>
        <w:tc>
          <w:tcPr>
            <w:tcW w:w="1056" w:type="dxa"/>
            <w:noWrap w:val="0"/>
            <w:vAlign w:val="center"/>
          </w:tcPr>
          <w:p w14:paraId="39EB7766">
            <w:pPr>
              <w:snapToGrid w:val="0"/>
              <w:spacing w:line="560" w:lineRule="exact"/>
              <w:jc w:val="center"/>
              <w:rPr>
                <w:rFonts w:ascii="仿宋_GB2312" w:hAnsi="仿宋_GB2312" w:eastAsia="仿宋_GB2312" w:cs="Times New Roman"/>
                <w:kern w:val="0"/>
                <w:sz w:val="30"/>
                <w:szCs w:val="30"/>
              </w:rPr>
            </w:pPr>
            <w:r>
              <w:rPr>
                <w:rFonts w:hint="eastAsia" w:ascii="仿宋_GB2312" w:hAnsi="仿宋_GB2312" w:eastAsia="仿宋_GB2312" w:cs="Times New Roman"/>
                <w:kern w:val="0"/>
                <w:sz w:val="30"/>
                <w:szCs w:val="30"/>
                <w:lang w:val="en-US" w:eastAsia="zh-CN"/>
              </w:rPr>
              <w:t>2026C03</w:t>
            </w:r>
          </w:p>
        </w:tc>
      </w:tr>
      <w:tr w14:paraId="1EDC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0" w:type="dxa"/>
            <w:noWrap w:val="0"/>
            <w:vAlign w:val="center"/>
          </w:tcPr>
          <w:p w14:paraId="3E923E38">
            <w:pPr>
              <w:snapToGrid w:val="0"/>
              <w:spacing w:line="560" w:lineRule="exact"/>
              <w:jc w:val="center"/>
              <w:rPr>
                <w:rFonts w:ascii="仿宋_GB2312" w:hAnsi="仿宋_GB2312" w:eastAsia="仿宋_GB2312" w:cs="Times New Roman"/>
                <w:kern w:val="0"/>
                <w:sz w:val="30"/>
                <w:szCs w:val="30"/>
              </w:rPr>
            </w:pPr>
            <w:r>
              <w:rPr>
                <w:rFonts w:hint="eastAsia" w:ascii="仿宋_GB2312" w:hAnsi="仿宋_GB2312" w:eastAsia="仿宋_GB2312" w:cs="Times New Roman"/>
                <w:kern w:val="0"/>
                <w:sz w:val="30"/>
                <w:szCs w:val="30"/>
              </w:rPr>
              <w:t>4</w:t>
            </w:r>
          </w:p>
        </w:tc>
        <w:tc>
          <w:tcPr>
            <w:tcW w:w="1639" w:type="dxa"/>
            <w:noWrap w:val="0"/>
            <w:vAlign w:val="center"/>
          </w:tcPr>
          <w:p w14:paraId="631266A7">
            <w:pPr>
              <w:snapToGrid w:val="0"/>
              <w:spacing w:line="560" w:lineRule="exact"/>
              <w:jc w:val="center"/>
              <w:rPr>
                <w:rFonts w:ascii="仿宋_GB2312" w:hAnsi="仿宋_GB2312" w:eastAsia="仿宋_GB2312" w:cs="Times New Roman"/>
                <w:kern w:val="0"/>
                <w:sz w:val="30"/>
                <w:szCs w:val="30"/>
              </w:rPr>
            </w:pPr>
            <w:r>
              <w:rPr>
                <w:rFonts w:hint="eastAsia" w:ascii="仿宋_GB2312" w:hAnsi="仿宋_GB2312" w:eastAsia="仿宋_GB2312" w:cs="Times New Roman"/>
                <w:kern w:val="0"/>
                <w:sz w:val="30"/>
                <w:szCs w:val="30"/>
              </w:rPr>
              <w:t>中国体育仲裁通识教育体系构建与应用</w:t>
            </w:r>
          </w:p>
        </w:tc>
        <w:tc>
          <w:tcPr>
            <w:tcW w:w="5453" w:type="dxa"/>
            <w:noWrap w:val="0"/>
            <w:vAlign w:val="center"/>
          </w:tcPr>
          <w:p w14:paraId="39984B12">
            <w:pPr>
              <w:snapToGrid w:val="0"/>
              <w:spacing w:line="560" w:lineRule="exact"/>
              <w:jc w:val="both"/>
              <w:rPr>
                <w:rFonts w:ascii="仿宋_GB2312" w:hAnsi="仿宋_GB2312" w:eastAsia="仿宋_GB2312" w:cs="Times New Roman"/>
                <w:kern w:val="0"/>
                <w:sz w:val="30"/>
                <w:szCs w:val="30"/>
              </w:rPr>
            </w:pPr>
            <w:r>
              <w:rPr>
                <w:rFonts w:hint="eastAsia" w:ascii="仿宋_GB2312" w:hAnsi="仿宋_GB2312" w:eastAsia="仿宋_GB2312" w:cs="Times New Roman"/>
                <w:kern w:val="0"/>
                <w:sz w:val="30"/>
                <w:szCs w:val="30"/>
                <w:lang w:val="en-US" w:eastAsia="zh-CN"/>
              </w:rPr>
              <w:t>本选题应系统研究如何将体育仲裁的核心制度、程序规则与典型案例转化为适应不同受众认知层次的通识化表达。针对运动员、教练员、体育管理人员、体育社会组织工作人员等不同群体的知识背景与实际需求，系统设计分层分类的宣讲内容框架与多元化呈现形式。形成一套结构清晰、语言平实、案例生动、场景贴近的标准化通识教育材料体系，涵盖宣讲提纲、图文读本、案例汇编及配套课件等多种载体，确保宣传内容具备较强的可用性与可推广性。</w:t>
            </w:r>
          </w:p>
        </w:tc>
        <w:tc>
          <w:tcPr>
            <w:tcW w:w="954" w:type="dxa"/>
            <w:noWrap w:val="0"/>
            <w:vAlign w:val="center"/>
          </w:tcPr>
          <w:p w14:paraId="374FD83B">
            <w:pPr>
              <w:snapToGrid w:val="0"/>
              <w:spacing w:line="560" w:lineRule="exact"/>
              <w:jc w:val="center"/>
              <w:rPr>
                <w:rFonts w:ascii="仿宋_GB2312" w:hAnsi="仿宋_GB2312" w:eastAsia="仿宋_GB2312" w:cs="Times New Roman"/>
                <w:kern w:val="0"/>
                <w:sz w:val="30"/>
                <w:szCs w:val="30"/>
              </w:rPr>
            </w:pPr>
            <w:r>
              <w:rPr>
                <w:rFonts w:ascii="仿宋_GB2312" w:hAnsi="仿宋_GB2312" w:eastAsia="仿宋_GB2312" w:cs="Times New Roman"/>
                <w:kern w:val="0"/>
                <w:sz w:val="30"/>
                <w:szCs w:val="30"/>
              </w:rPr>
              <w:t>公开招</w:t>
            </w:r>
            <w:r>
              <w:rPr>
                <w:rFonts w:hint="eastAsia" w:ascii="仿宋_GB2312" w:hAnsi="仿宋_GB2312" w:eastAsia="仿宋_GB2312" w:cs="Times New Roman"/>
                <w:kern w:val="0"/>
                <w:sz w:val="30"/>
                <w:szCs w:val="30"/>
              </w:rPr>
              <w:t>标</w:t>
            </w:r>
          </w:p>
        </w:tc>
        <w:tc>
          <w:tcPr>
            <w:tcW w:w="1056" w:type="dxa"/>
            <w:noWrap w:val="0"/>
            <w:vAlign w:val="center"/>
          </w:tcPr>
          <w:p w14:paraId="4E1648D3">
            <w:pPr>
              <w:snapToGrid w:val="0"/>
              <w:spacing w:line="560" w:lineRule="exact"/>
              <w:jc w:val="center"/>
              <w:rPr>
                <w:rFonts w:ascii="仿宋_GB2312" w:hAnsi="仿宋_GB2312" w:eastAsia="仿宋_GB2312" w:cs="Times New Roman"/>
                <w:kern w:val="0"/>
                <w:sz w:val="30"/>
                <w:szCs w:val="30"/>
              </w:rPr>
            </w:pPr>
            <w:r>
              <w:rPr>
                <w:rFonts w:hint="eastAsia" w:ascii="仿宋_GB2312" w:hAnsi="仿宋_GB2312" w:eastAsia="仿宋_GB2312" w:cs="Times New Roman"/>
                <w:kern w:val="0"/>
                <w:sz w:val="30"/>
                <w:szCs w:val="30"/>
                <w:lang w:val="en-US" w:eastAsia="zh-CN"/>
              </w:rPr>
              <w:t>2026C04</w:t>
            </w:r>
          </w:p>
        </w:tc>
      </w:tr>
    </w:tbl>
    <w:p w14:paraId="2B43BCEC"/>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7F98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20F738">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F20F738">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945E4"/>
    <w:rsid w:val="314224E0"/>
    <w:rsid w:val="50294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2026-04-02T07:58:00Z</dcterms:created>
  <dc:creator>何雨轩</dc:creator>
  <cp:lastModifiedBy>何雨轩</cp:lastModifiedBy>
  <dcterms:modified xsi:type="dcterms:W3CDTF">2026-04-02T08:04:20Z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8CDF665B3C164D6B933E588CD30BEFF2_11</vt:lpwstr>
  </property>
  <property fmtid="{D5CDD505-2E9C-101B-9397-08002B2CF9AE}" pid="4" name="KSOTemplateDocerSaveRecord">
    <vt:lpwstr>eyJoZGlkIjoiZTA4NzIyN2MxYTlmMzQ1NGE2MjU5NWRkMjhlOGMxYTAiLCJ1c2VySWQiOiIzMDAwODUyNzEifQ==</vt:lpwstr>
  </property>
</Properties>
</file>