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5C" w:rsidRDefault="009E2A3E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1    201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年全国青少年保龄球锦标赛（冬季赛）</w:t>
      </w:r>
    </w:p>
    <w:p w:rsidR="0051115C" w:rsidRDefault="009E2A3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暨全国青少年保龄球冬令营赛事承接方案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一、比赛基本情况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（一）比赛时间：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年寒假，比赛日程不超过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天（自报到之日至全部比赛活动结束，不含离会）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（二）参赛规模：预计</w:t>
      </w:r>
      <w:r>
        <w:rPr>
          <w:rFonts w:ascii="仿宋" w:eastAsia="仿宋" w:hAnsi="仿宋" w:hint="eastAsia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，具体视报名情况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二、赛事承接要求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（一）比赛场地、器材要求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、不少于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条标准球道的保龄球馆。</w:t>
      </w:r>
    </w:p>
    <w:p w:rsidR="0051115C" w:rsidRDefault="009E2A3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按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以</w:t>
      </w:r>
      <w:r>
        <w:rPr>
          <w:rFonts w:ascii="仿宋" w:eastAsia="仿宋" w:hAnsi="仿宋" w:hint="eastAsia"/>
          <w:b/>
          <w:sz w:val="24"/>
          <w:szCs w:val="24"/>
        </w:rPr>
        <w:t>下公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英制换算计算，有差异的以英制为准。</w:t>
      </w:r>
    </w:p>
    <w:p w:rsidR="0051115C" w:rsidRDefault="009E2A3E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英寸</w:t>
      </w:r>
      <w:r>
        <w:rPr>
          <w:sz w:val="24"/>
          <w:szCs w:val="24"/>
        </w:rPr>
        <w:t>=25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毫米</w:t>
      </w:r>
    </w:p>
    <w:p w:rsidR="0051115C" w:rsidRDefault="009E2A3E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英尺</w:t>
      </w:r>
      <w:r>
        <w:rPr>
          <w:sz w:val="24"/>
          <w:szCs w:val="24"/>
        </w:rPr>
        <w:t>=12</w:t>
      </w:r>
      <w:r>
        <w:rPr>
          <w:rFonts w:hint="eastAsia"/>
          <w:sz w:val="24"/>
          <w:szCs w:val="24"/>
        </w:rPr>
        <w:t>英寸</w:t>
      </w:r>
      <w:r>
        <w:rPr>
          <w:sz w:val="24"/>
          <w:szCs w:val="24"/>
        </w:rPr>
        <w:t>=304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毫米</w:t>
      </w:r>
    </w:p>
    <w:p w:rsidR="0051115C" w:rsidRDefault="009E2A3E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磅</w:t>
      </w:r>
      <w:r>
        <w:rPr>
          <w:sz w:val="24"/>
          <w:szCs w:val="24"/>
        </w:rPr>
        <w:t>=0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453</w:t>
      </w:r>
      <w:r>
        <w:rPr>
          <w:rFonts w:hint="eastAsia"/>
          <w:sz w:val="24"/>
          <w:szCs w:val="24"/>
        </w:rPr>
        <w:t>公斤</w:t>
      </w:r>
    </w:p>
    <w:p w:rsidR="0051115C" w:rsidRDefault="009E2A3E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盎司</w:t>
      </w:r>
      <w:r>
        <w:rPr>
          <w:sz w:val="24"/>
          <w:szCs w:val="24"/>
        </w:rPr>
        <w:t>=28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349</w:t>
      </w:r>
      <w:r>
        <w:rPr>
          <w:rFonts w:hint="eastAsia"/>
          <w:sz w:val="24"/>
          <w:szCs w:val="24"/>
        </w:rPr>
        <w:t>克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、球道基本要求如下：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符合</w:t>
      </w:r>
      <w:r>
        <w:rPr>
          <w:rFonts w:ascii="仿宋" w:eastAsia="仿宋" w:hAnsi="仿宋" w:hint="eastAsia"/>
          <w:sz w:val="28"/>
          <w:szCs w:val="28"/>
        </w:rPr>
        <w:t>WTBA</w:t>
      </w:r>
      <w:r>
        <w:rPr>
          <w:rFonts w:ascii="仿宋" w:eastAsia="仿宋" w:hAnsi="仿宋" w:hint="eastAsia"/>
          <w:sz w:val="28"/>
          <w:szCs w:val="28"/>
        </w:rPr>
        <w:t>标准的保龄球合成球道、</w:t>
      </w:r>
      <w:proofErr w:type="gramStart"/>
      <w:r>
        <w:rPr>
          <w:rFonts w:ascii="仿宋" w:eastAsia="仿宋" w:hAnsi="仿宋" w:hint="eastAsia"/>
          <w:sz w:val="28"/>
          <w:szCs w:val="28"/>
        </w:rPr>
        <w:t>自动置瓶机</w:t>
      </w:r>
      <w:proofErr w:type="gramEnd"/>
      <w:r>
        <w:rPr>
          <w:rFonts w:ascii="仿宋" w:eastAsia="仿宋" w:hAnsi="仿宋" w:hint="eastAsia"/>
          <w:sz w:val="28"/>
          <w:szCs w:val="28"/>
        </w:rPr>
        <w:t>及自动记分设备设施。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比赛场馆必须使用统一品牌表面合成球道板，且边板间的摩擦系数不少于</w:t>
      </w:r>
      <w:r>
        <w:rPr>
          <w:rFonts w:ascii="仿宋" w:eastAsia="仿宋" w:hAnsi="仿宋" w:hint="eastAsia"/>
          <w:sz w:val="28"/>
          <w:szCs w:val="28"/>
        </w:rPr>
        <w:t>0.29</w:t>
      </w:r>
      <w:r>
        <w:rPr>
          <w:rFonts w:ascii="仿宋" w:eastAsia="仿宋" w:hAnsi="仿宋" w:hint="eastAsia"/>
          <w:sz w:val="28"/>
          <w:szCs w:val="28"/>
        </w:rPr>
        <w:t>，球道表面各标记点和标记图标位置准确、标识清晰，且与球道其他位置表面属于同一摩擦系数。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保龄球道长度从犯规线到</w:t>
      </w:r>
      <w:proofErr w:type="gramStart"/>
      <w:r>
        <w:rPr>
          <w:rFonts w:ascii="仿宋" w:eastAsia="仿宋" w:hAnsi="仿宋" w:hint="eastAsia"/>
          <w:sz w:val="28"/>
          <w:szCs w:val="28"/>
        </w:rPr>
        <w:t>置瓶台底边</w:t>
      </w:r>
      <w:proofErr w:type="gramEnd"/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62</w:t>
      </w:r>
      <w:r>
        <w:rPr>
          <w:rFonts w:ascii="仿宋" w:eastAsia="仿宋" w:hAnsi="仿宋" w:hint="eastAsia"/>
          <w:sz w:val="28"/>
          <w:szCs w:val="28"/>
        </w:rPr>
        <w:t>英尺</w:t>
      </w:r>
      <w:r>
        <w:rPr>
          <w:rFonts w:ascii="仿宋" w:eastAsia="仿宋" w:hAnsi="仿宋" w:hint="eastAsia"/>
          <w:sz w:val="28"/>
          <w:szCs w:val="28"/>
        </w:rPr>
        <w:t>10 3/16</w:t>
      </w:r>
      <w:r>
        <w:rPr>
          <w:rFonts w:ascii="仿宋" w:eastAsia="仿宋" w:hAnsi="仿宋" w:hint="eastAsia"/>
          <w:sz w:val="28"/>
          <w:szCs w:val="28"/>
        </w:rPr>
        <w:t>英寸，犯规线到</w:t>
      </w:r>
      <w:r>
        <w:rPr>
          <w:rFonts w:ascii="仿宋" w:eastAsia="仿宋" w:hAnsi="仿宋" w:hint="eastAsia"/>
          <w:sz w:val="28"/>
          <w:szCs w:val="28"/>
        </w:rPr>
        <w:t>1#</w:t>
      </w:r>
      <w:proofErr w:type="gramStart"/>
      <w:r>
        <w:rPr>
          <w:rFonts w:ascii="仿宋" w:eastAsia="仿宋" w:hAnsi="仿宋" w:hint="eastAsia"/>
          <w:sz w:val="28"/>
          <w:szCs w:val="28"/>
        </w:rPr>
        <w:t>瓶距离</w:t>
      </w:r>
      <w:proofErr w:type="gramEnd"/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英尺（误差</w:t>
      </w:r>
      <w:r>
        <w:rPr>
          <w:rFonts w:ascii="仿宋" w:eastAsia="仿宋" w:hAnsi="仿宋" w:hint="eastAsia"/>
          <w:sz w:val="28"/>
          <w:szCs w:val="28"/>
        </w:rPr>
        <w:t>1/2</w:t>
      </w:r>
      <w:r>
        <w:rPr>
          <w:rFonts w:ascii="仿宋" w:eastAsia="仿宋" w:hAnsi="仿宋" w:hint="eastAsia"/>
          <w:sz w:val="28"/>
          <w:szCs w:val="28"/>
        </w:rPr>
        <w:t>英寸），宽度</w:t>
      </w:r>
      <w:r>
        <w:rPr>
          <w:rFonts w:ascii="仿宋" w:eastAsia="仿宋" w:hAnsi="仿宋" w:hint="eastAsia"/>
          <w:sz w:val="28"/>
          <w:szCs w:val="28"/>
        </w:rPr>
        <w:t>41 1/2</w:t>
      </w:r>
      <w:r>
        <w:rPr>
          <w:rFonts w:ascii="仿宋" w:eastAsia="仿宋" w:hAnsi="仿宋" w:hint="eastAsia"/>
          <w:sz w:val="28"/>
          <w:szCs w:val="28"/>
        </w:rPr>
        <w:t>英寸宽（误差</w:t>
      </w:r>
      <w:r>
        <w:rPr>
          <w:rFonts w:ascii="仿宋" w:eastAsia="仿宋" w:hAnsi="仿宋" w:hint="eastAsia"/>
          <w:sz w:val="28"/>
          <w:szCs w:val="28"/>
        </w:rPr>
        <w:t>1/2</w:t>
      </w:r>
      <w:r>
        <w:rPr>
          <w:rFonts w:ascii="仿宋" w:eastAsia="仿宋" w:hAnsi="仿宋" w:hint="eastAsia"/>
          <w:sz w:val="28"/>
          <w:szCs w:val="28"/>
        </w:rPr>
        <w:t>英寸），</w:t>
      </w:r>
      <w:proofErr w:type="gramStart"/>
      <w:r>
        <w:rPr>
          <w:rFonts w:ascii="仿宋" w:eastAsia="仿宋" w:hAnsi="仿宋" w:hint="eastAsia"/>
          <w:sz w:val="28"/>
          <w:szCs w:val="28"/>
        </w:rPr>
        <w:t>球沟宽度</w:t>
      </w:r>
      <w:proofErr w:type="gramEnd"/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9.5</w:t>
      </w:r>
      <w:r>
        <w:rPr>
          <w:rFonts w:ascii="仿宋" w:eastAsia="仿宋" w:hAnsi="仿宋" w:hint="eastAsia"/>
          <w:sz w:val="28"/>
          <w:szCs w:val="28"/>
        </w:rPr>
        <w:t>英寸；球道水平要求每根球道前后、左右的水平不能相差千分之四十英寸。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hint="eastAsia"/>
          <w:sz w:val="28"/>
          <w:szCs w:val="28"/>
        </w:rPr>
        <w:t>助走区长</w:t>
      </w:r>
      <w:proofErr w:type="gramEnd"/>
      <w:r>
        <w:rPr>
          <w:rFonts w:ascii="仿宋" w:eastAsia="仿宋" w:hAnsi="仿宋" w:hint="eastAsia"/>
          <w:sz w:val="28"/>
          <w:szCs w:val="28"/>
        </w:rPr>
        <w:t>度不能少于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英尺</w:t>
      </w:r>
      <w:r>
        <w:rPr>
          <w:rFonts w:ascii="仿宋" w:eastAsia="仿宋" w:hAnsi="仿宋" w:hint="eastAsia"/>
          <w:sz w:val="28"/>
          <w:szCs w:val="28"/>
        </w:rPr>
        <w:t>，水平不能超过</w:t>
      </w:r>
      <w:r>
        <w:rPr>
          <w:rFonts w:ascii="仿宋" w:eastAsia="仿宋" w:hAnsi="仿宋" w:hint="eastAsia"/>
          <w:sz w:val="28"/>
          <w:szCs w:val="28"/>
        </w:rPr>
        <w:t>1/4</w:t>
      </w:r>
      <w:r>
        <w:rPr>
          <w:rFonts w:ascii="仿宋" w:eastAsia="仿宋" w:hAnsi="仿宋" w:hint="eastAsia"/>
          <w:sz w:val="28"/>
          <w:szCs w:val="28"/>
        </w:rPr>
        <w:t>英寸误差；宽</w:t>
      </w:r>
      <w:r>
        <w:rPr>
          <w:rFonts w:ascii="仿宋" w:eastAsia="仿宋" w:hAnsi="仿宋" w:hint="eastAsia"/>
          <w:sz w:val="28"/>
          <w:szCs w:val="28"/>
        </w:rPr>
        <w:lastRenderedPageBreak/>
        <w:t>度不应少于球道整体宽度。</w:t>
      </w:r>
      <w:proofErr w:type="gramStart"/>
      <w:r>
        <w:rPr>
          <w:rFonts w:ascii="仿宋" w:eastAsia="仿宋" w:hAnsi="仿宋" w:hint="eastAsia"/>
          <w:sz w:val="28"/>
          <w:szCs w:val="28"/>
        </w:rPr>
        <w:t>助走区</w:t>
      </w:r>
      <w:proofErr w:type="gramEnd"/>
      <w:r>
        <w:rPr>
          <w:rFonts w:ascii="仿宋" w:eastAsia="仿宋" w:hAnsi="仿宋" w:hint="eastAsia"/>
          <w:sz w:val="28"/>
          <w:szCs w:val="28"/>
        </w:rPr>
        <w:t>站位点标记清晰准确，保持整体平整与通畅。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hint="eastAsia"/>
          <w:sz w:val="28"/>
          <w:szCs w:val="28"/>
        </w:rPr>
        <w:t>所有置瓶机</w:t>
      </w:r>
      <w:proofErr w:type="gramEnd"/>
      <w:r>
        <w:rPr>
          <w:rFonts w:ascii="仿宋" w:eastAsia="仿宋" w:hAnsi="仿宋" w:hint="eastAsia"/>
          <w:sz w:val="28"/>
          <w:szCs w:val="28"/>
        </w:rPr>
        <w:t>至少能够在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小时内完成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局无故障</w:t>
      </w:r>
      <w:proofErr w:type="gramStart"/>
      <w:r>
        <w:rPr>
          <w:rFonts w:ascii="仿宋" w:eastAsia="仿宋" w:hAnsi="仿宋" w:hint="eastAsia"/>
          <w:sz w:val="28"/>
          <w:szCs w:val="28"/>
        </w:rPr>
        <w:t>连续置瓶动作</w:t>
      </w:r>
      <w:proofErr w:type="gramEnd"/>
      <w:r>
        <w:rPr>
          <w:rFonts w:ascii="仿宋" w:eastAsia="仿宋" w:hAnsi="仿宋" w:hint="eastAsia"/>
          <w:sz w:val="28"/>
          <w:szCs w:val="28"/>
        </w:rPr>
        <w:t>。自动放置球瓶时准确的放置在</w:t>
      </w:r>
      <w:proofErr w:type="gramStart"/>
      <w:r>
        <w:rPr>
          <w:rFonts w:ascii="仿宋" w:eastAsia="仿宋" w:hAnsi="仿宋" w:hint="eastAsia"/>
          <w:sz w:val="28"/>
          <w:szCs w:val="28"/>
        </w:rPr>
        <w:t>置瓶台瓶</w:t>
      </w:r>
      <w:proofErr w:type="gramEnd"/>
      <w:r>
        <w:rPr>
          <w:rFonts w:ascii="仿宋" w:eastAsia="仿宋" w:hAnsi="仿宋" w:hint="eastAsia"/>
          <w:sz w:val="28"/>
          <w:szCs w:val="28"/>
        </w:rPr>
        <w:t>点上。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比赛</w:t>
      </w:r>
      <w:proofErr w:type="gramStart"/>
      <w:r>
        <w:rPr>
          <w:rFonts w:ascii="仿宋" w:eastAsia="仿宋" w:hAnsi="仿宋" w:hint="eastAsia"/>
          <w:sz w:val="28"/>
          <w:szCs w:val="28"/>
        </w:rPr>
        <w:t>场馆场馆</w:t>
      </w:r>
      <w:proofErr w:type="gramEnd"/>
      <w:r>
        <w:rPr>
          <w:rFonts w:ascii="仿宋" w:eastAsia="仿宋" w:hAnsi="仿宋" w:hint="eastAsia"/>
          <w:sz w:val="28"/>
          <w:szCs w:val="28"/>
        </w:rPr>
        <w:t>拥有完整的联网开启左右球道交叉比赛记分模式及转移球道模式，并在显示器上有清晰的，如箭头指示等图示标识。</w:t>
      </w:r>
    </w:p>
    <w:p w:rsidR="0051115C" w:rsidRDefault="009E2A3E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所有</w:t>
      </w:r>
      <w:proofErr w:type="gramStart"/>
      <w:r>
        <w:rPr>
          <w:rFonts w:ascii="仿宋" w:eastAsia="仿宋" w:hAnsi="仿宋" w:hint="eastAsia"/>
          <w:sz w:val="28"/>
          <w:szCs w:val="28"/>
        </w:rPr>
        <w:t>置瓶台</w:t>
      </w:r>
      <w:proofErr w:type="gramEnd"/>
      <w:r>
        <w:rPr>
          <w:rFonts w:ascii="仿宋" w:eastAsia="仿宋" w:hAnsi="仿宋" w:hint="eastAsia"/>
          <w:sz w:val="28"/>
          <w:szCs w:val="28"/>
        </w:rPr>
        <w:t>与球道表面为同一水平位置，且球</w:t>
      </w:r>
      <w:proofErr w:type="gramStart"/>
      <w:r>
        <w:rPr>
          <w:rFonts w:ascii="仿宋" w:eastAsia="仿宋" w:hAnsi="仿宋" w:hint="eastAsia"/>
          <w:sz w:val="28"/>
          <w:szCs w:val="28"/>
        </w:rPr>
        <w:t>瓶位置</w:t>
      </w:r>
      <w:proofErr w:type="gramEnd"/>
      <w:r>
        <w:rPr>
          <w:rFonts w:ascii="仿宋" w:eastAsia="仿宋" w:hAnsi="仿宋" w:hint="eastAsia"/>
          <w:sz w:val="28"/>
          <w:szCs w:val="28"/>
        </w:rPr>
        <w:t>标识明显，平整无凸凹，无金属及其他差异材料组成。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、球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瓶基本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要求如下：</w:t>
      </w:r>
    </w:p>
    <w:p w:rsidR="0051115C" w:rsidRDefault="009E2A3E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每条球道必须使用符合</w:t>
      </w:r>
      <w:r>
        <w:rPr>
          <w:rFonts w:ascii="仿宋" w:eastAsia="仿宋" w:hAnsi="仿宋" w:hint="eastAsia"/>
          <w:sz w:val="28"/>
          <w:szCs w:val="28"/>
        </w:rPr>
        <w:t>WTBA</w:t>
      </w:r>
      <w:r>
        <w:rPr>
          <w:rFonts w:ascii="仿宋" w:eastAsia="仿宋" w:hAnsi="仿宋" w:hint="eastAsia"/>
          <w:sz w:val="28"/>
          <w:szCs w:val="28"/>
        </w:rPr>
        <w:t>标准的保龄球比赛用瓶，球瓶重量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磅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盎司至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磅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盎司。</w:t>
      </w:r>
    </w:p>
    <w:p w:rsidR="0051115C" w:rsidRDefault="009E2A3E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宾士</w:t>
      </w:r>
      <w:proofErr w:type="gramStart"/>
      <w:r>
        <w:rPr>
          <w:rFonts w:ascii="仿宋" w:eastAsia="仿宋" w:hAnsi="仿宋" w:hint="eastAsia"/>
          <w:sz w:val="28"/>
          <w:szCs w:val="28"/>
        </w:rPr>
        <w:t>域设备</w:t>
      </w:r>
      <w:proofErr w:type="gramEnd"/>
      <w:r>
        <w:rPr>
          <w:rFonts w:ascii="仿宋" w:eastAsia="仿宋" w:hAnsi="仿宋" w:hint="eastAsia"/>
          <w:sz w:val="28"/>
          <w:szCs w:val="28"/>
        </w:rPr>
        <w:t>每道保证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支球瓶，</w:t>
      </w:r>
      <w:r>
        <w:rPr>
          <w:rFonts w:ascii="仿宋" w:eastAsia="仿宋" w:hAnsi="仿宋" w:hint="eastAsia"/>
          <w:sz w:val="28"/>
          <w:szCs w:val="28"/>
        </w:rPr>
        <w:t>AMF</w:t>
      </w:r>
      <w:r>
        <w:rPr>
          <w:rFonts w:ascii="仿宋" w:eastAsia="仿宋" w:hAnsi="仿宋" w:hint="eastAsia"/>
          <w:sz w:val="28"/>
          <w:szCs w:val="28"/>
        </w:rPr>
        <w:t>球道每道保证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支球瓶。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、提供中保协认可的落油机及耗材。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如无法达到球瓶、落油机要求，需承担上述场地、比赛器材运输费用及耗材费用。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办公场地要求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成绩统计工作室一间（配备网线、电脑及电源插座）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会议室一间（不少于参与学员人数），配备麦克风及背景板，用于期间培训授课。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（三）竞赛用品要求</w:t>
      </w:r>
    </w:p>
    <w:p w:rsidR="0051115C" w:rsidRDefault="009E2A3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另行确定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（四）工作人员要求</w:t>
      </w:r>
    </w:p>
    <w:p w:rsidR="0051115C" w:rsidRDefault="009E2A3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球馆记分人员不少于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名，负责比赛记分、送分等，需熟练掌握机器操作</w:t>
      </w:r>
      <w:proofErr w:type="gramStart"/>
      <w:r>
        <w:rPr>
          <w:rFonts w:ascii="仿宋" w:eastAsia="仿宋" w:hAnsi="仿宋" w:hint="eastAsia"/>
          <w:sz w:val="28"/>
          <w:szCs w:val="28"/>
        </w:rPr>
        <w:t>及瓶位位置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51115C" w:rsidRDefault="009E2A3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后机维修人员不少于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人，能保证比赛期间机器顺利运转。</w:t>
      </w:r>
    </w:p>
    <w:p w:rsidR="0051115C" w:rsidRDefault="009E2A3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培训教练不少于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人，具备青少年基础保龄球培训水平，并全程负责学员的比赛、训练、活动行程的组织，保证学员安全。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（五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周边食宿交通要求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全部食宿费用由学员自行承担，但需要代为联系比赛场馆周边住宿酒店（含早餐，单人间、标准间为宜），住宿价格适中（含早餐，单人间、标准间为宜），房间安全、卫生，有培训教练夜间值班。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青少年比赛须统一安排就餐，保证菜品卫生、足量、丰富、价格合理。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球馆所</w:t>
      </w:r>
      <w:r>
        <w:rPr>
          <w:rFonts w:ascii="仿宋" w:eastAsia="仿宋" w:hAnsi="仿宋" w:hint="eastAsia"/>
          <w:sz w:val="28"/>
          <w:szCs w:val="28"/>
        </w:rPr>
        <w:t>在省市交通便利，冬季气候适宜，利于开展活动。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（六）费用承担要求</w:t>
      </w:r>
    </w:p>
    <w:p w:rsidR="0051115C" w:rsidRDefault="009E2A3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、中国保龄球协会一次性拨付竞赛承办补贴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51115C" w:rsidRDefault="009E2A3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、承担赛事奖品（保龄球等比赛器材），总价值不少于</w:t>
      </w:r>
      <w:r>
        <w:rPr>
          <w:rFonts w:ascii="仿宋" w:eastAsia="仿宋" w:hAnsi="仿宋" w:hint="eastAsia"/>
          <w:sz w:val="28"/>
          <w:szCs w:val="28"/>
        </w:rPr>
        <w:t>2.5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、承担比赛期间工作人员食宿、差旅费，承担外派裁判员食宿、差旅、劳务费，承担培训教练食宿、劳务费。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、承担比赛器材运输及消耗品费用，承担比赛、活动场地费。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、承担竞赛用品费用，包括比赛横幅、秩序</w:t>
      </w:r>
      <w:proofErr w:type="gramStart"/>
      <w:r>
        <w:rPr>
          <w:rFonts w:ascii="仿宋" w:eastAsia="仿宋" w:hAnsi="仿宋" w:hint="eastAsia"/>
          <w:sz w:val="28"/>
          <w:szCs w:val="28"/>
        </w:rPr>
        <w:t>册</w:t>
      </w:r>
      <w:proofErr w:type="gramEnd"/>
      <w:r>
        <w:rPr>
          <w:rFonts w:ascii="仿宋" w:eastAsia="仿宋" w:hAnsi="仿宋" w:hint="eastAsia"/>
          <w:sz w:val="28"/>
          <w:szCs w:val="28"/>
        </w:rPr>
        <w:t>印刷、奖杯等。</w:t>
      </w:r>
    </w:p>
    <w:p w:rsidR="0051115C" w:rsidRDefault="009E2A3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、负责冬令营期间活动的组织和安保，根据实际情况可向学员收取部分费用。</w:t>
      </w:r>
    </w:p>
    <w:p w:rsidR="0051115C" w:rsidRDefault="009E2A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三、承接赛事享受权利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>
        <w:rPr>
          <w:rFonts w:ascii="仿宋" w:eastAsia="仿宋" w:hAnsi="仿宋" w:hint="eastAsia"/>
          <w:sz w:val="28"/>
          <w:szCs w:val="28"/>
        </w:rPr>
        <w:t>经我方允许，承</w:t>
      </w:r>
      <w:r>
        <w:rPr>
          <w:rFonts w:ascii="仿宋" w:eastAsia="仿宋" w:hAnsi="仿宋" w:hint="eastAsia"/>
          <w:sz w:val="28"/>
          <w:szCs w:val="28"/>
        </w:rPr>
        <w:t>接单位可享受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（一）赛事及活动名称使用权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（二）赛事及活动商业开发权</w:t>
      </w:r>
    </w:p>
    <w:p w:rsidR="0051115C" w:rsidRDefault="009E2A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（三）其他经我方允许的其它权利</w:t>
      </w:r>
    </w:p>
    <w:p w:rsidR="0051115C" w:rsidRDefault="0051115C">
      <w:pPr>
        <w:rPr>
          <w:rFonts w:ascii="仿宋" w:eastAsia="仿宋" w:hAnsi="仿宋"/>
          <w:sz w:val="28"/>
          <w:szCs w:val="28"/>
        </w:rPr>
      </w:pPr>
    </w:p>
    <w:sectPr w:rsidR="0051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4638"/>
    <w:multiLevelType w:val="multilevel"/>
    <w:tmpl w:val="477346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E4FFA"/>
    <w:multiLevelType w:val="multilevel"/>
    <w:tmpl w:val="49AE4FF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87"/>
    <w:rsid w:val="00076AFE"/>
    <w:rsid w:val="000F0467"/>
    <w:rsid w:val="00101992"/>
    <w:rsid w:val="0012558D"/>
    <w:rsid w:val="00137089"/>
    <w:rsid w:val="001C1865"/>
    <w:rsid w:val="00221466"/>
    <w:rsid w:val="002663D4"/>
    <w:rsid w:val="002822DD"/>
    <w:rsid w:val="003130E0"/>
    <w:rsid w:val="00332E5E"/>
    <w:rsid w:val="00345A0C"/>
    <w:rsid w:val="00354624"/>
    <w:rsid w:val="00357C36"/>
    <w:rsid w:val="00371DA1"/>
    <w:rsid w:val="003C57E7"/>
    <w:rsid w:val="00465385"/>
    <w:rsid w:val="004739F3"/>
    <w:rsid w:val="00474681"/>
    <w:rsid w:val="00486E39"/>
    <w:rsid w:val="004B006F"/>
    <w:rsid w:val="004F7647"/>
    <w:rsid w:val="0051115C"/>
    <w:rsid w:val="0053339F"/>
    <w:rsid w:val="005D7723"/>
    <w:rsid w:val="00635CF7"/>
    <w:rsid w:val="006C344D"/>
    <w:rsid w:val="006D6F98"/>
    <w:rsid w:val="007008FF"/>
    <w:rsid w:val="00786792"/>
    <w:rsid w:val="007B2A21"/>
    <w:rsid w:val="007E3B23"/>
    <w:rsid w:val="007E4951"/>
    <w:rsid w:val="007F3860"/>
    <w:rsid w:val="00832E49"/>
    <w:rsid w:val="00842FBD"/>
    <w:rsid w:val="00844860"/>
    <w:rsid w:val="008778BE"/>
    <w:rsid w:val="008869B2"/>
    <w:rsid w:val="008F2E74"/>
    <w:rsid w:val="00957D87"/>
    <w:rsid w:val="009A2559"/>
    <w:rsid w:val="009D1C4A"/>
    <w:rsid w:val="009E2A3E"/>
    <w:rsid w:val="009E55F2"/>
    <w:rsid w:val="00A8195C"/>
    <w:rsid w:val="00B116A2"/>
    <w:rsid w:val="00B17213"/>
    <w:rsid w:val="00B53475"/>
    <w:rsid w:val="00B644C0"/>
    <w:rsid w:val="00BD4BF6"/>
    <w:rsid w:val="00C00ECA"/>
    <w:rsid w:val="00C520F1"/>
    <w:rsid w:val="00CD7744"/>
    <w:rsid w:val="00D24FE0"/>
    <w:rsid w:val="00D34DBF"/>
    <w:rsid w:val="00D52267"/>
    <w:rsid w:val="00D83912"/>
    <w:rsid w:val="00D87760"/>
    <w:rsid w:val="00DA75ED"/>
    <w:rsid w:val="00DF08AB"/>
    <w:rsid w:val="00E74057"/>
    <w:rsid w:val="00E92ED1"/>
    <w:rsid w:val="00ED2924"/>
    <w:rsid w:val="00EE304F"/>
    <w:rsid w:val="00F06BE0"/>
    <w:rsid w:val="00F650F4"/>
    <w:rsid w:val="00F74F18"/>
    <w:rsid w:val="00F94239"/>
    <w:rsid w:val="00FA0C36"/>
    <w:rsid w:val="00FC069A"/>
    <w:rsid w:val="00FE3C56"/>
    <w:rsid w:val="038122FA"/>
    <w:rsid w:val="314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hanyan</cp:lastModifiedBy>
  <cp:revision>2</cp:revision>
  <cp:lastPrinted>2016-02-22T08:47:00Z</cp:lastPrinted>
  <dcterms:created xsi:type="dcterms:W3CDTF">2018-12-06T03:13:00Z</dcterms:created>
  <dcterms:modified xsi:type="dcterms:W3CDTF">2018-12-06T03:13:00Z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