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1106" w14:textId="18A7DEEF" w:rsidR="001963B8" w:rsidRPr="001963B8" w:rsidRDefault="00233AC0" w:rsidP="001963B8">
      <w:pPr>
        <w:kinsoku/>
        <w:autoSpaceDE/>
        <w:autoSpaceDN/>
        <w:adjustRightInd/>
        <w:snapToGrid/>
        <w:jc w:val="center"/>
        <w:textAlignment w:val="auto"/>
        <w:rPr>
          <w:rFonts w:ascii="宋体" w:eastAsia="等线" w:hAnsi="宋体" w:cs="宋体" w:hint="eastAsia"/>
          <w:b/>
          <w:bCs/>
          <w:snapToGrid/>
          <w:sz w:val="32"/>
          <w:szCs w:val="32"/>
          <w:lang w:eastAsia="zh-CN"/>
        </w:rPr>
      </w:pPr>
      <w:r w:rsidRPr="00233AC0">
        <w:rPr>
          <w:rFonts w:ascii="宋体" w:eastAsia="等线" w:hAnsi="宋体" w:cs="宋体"/>
          <w:b/>
          <w:bCs/>
          <w:snapToGrid/>
          <w:sz w:val="32"/>
          <w:szCs w:val="32"/>
          <w:lang w:eastAsia="zh-CN"/>
        </w:rPr>
        <w:t>2025</w:t>
      </w:r>
      <w:r w:rsidRPr="00233AC0">
        <w:rPr>
          <w:rFonts w:ascii="宋体" w:eastAsia="等线" w:hAnsi="宋体" w:cs="宋体" w:hint="eastAsia"/>
          <w:b/>
          <w:bCs/>
          <w:snapToGrid/>
          <w:sz w:val="32"/>
          <w:szCs w:val="32"/>
          <w:lang w:eastAsia="zh-CN"/>
        </w:rPr>
        <w:t>年国际板球理事会一级裁判员暨全国板球项目二级裁判员培训班</w:t>
      </w:r>
      <w:r w:rsidR="001963B8" w:rsidRPr="001963B8">
        <w:rPr>
          <w:rFonts w:ascii="宋体" w:eastAsia="等线" w:hAnsi="宋体" w:cs="宋体" w:hint="eastAsia"/>
          <w:b/>
          <w:bCs/>
          <w:snapToGrid/>
          <w:sz w:val="32"/>
          <w:szCs w:val="32"/>
          <w:lang w:eastAsia="zh-CN"/>
        </w:rPr>
        <w:t>课程表（</w:t>
      </w:r>
      <w:r>
        <w:rPr>
          <w:rFonts w:ascii="宋体" w:eastAsia="等线" w:hAnsi="宋体" w:cs="宋体" w:hint="eastAsia"/>
          <w:b/>
          <w:bCs/>
          <w:snapToGrid/>
          <w:sz w:val="32"/>
          <w:szCs w:val="32"/>
          <w:lang w:eastAsia="zh-CN"/>
        </w:rPr>
        <w:t>沈阳</w:t>
      </w:r>
      <w:r w:rsidR="001963B8" w:rsidRPr="001963B8">
        <w:rPr>
          <w:rFonts w:ascii="宋体" w:eastAsia="等线" w:hAnsi="宋体" w:cs="宋体" w:hint="eastAsia"/>
          <w:b/>
          <w:bCs/>
          <w:snapToGrid/>
          <w:sz w:val="32"/>
          <w:szCs w:val="32"/>
          <w:lang w:eastAsia="zh-CN"/>
        </w:rPr>
        <w:t>站）</w:t>
      </w:r>
    </w:p>
    <w:p w14:paraId="7CB526DF" w14:textId="37AF42C9" w:rsidR="001963B8" w:rsidRPr="00233AC0" w:rsidRDefault="00233AC0" w:rsidP="00233AC0">
      <w:pPr>
        <w:kinsoku/>
        <w:autoSpaceDE/>
        <w:autoSpaceDN/>
        <w:adjustRightInd/>
        <w:snapToGrid/>
        <w:ind w:firstLineChars="177" w:firstLine="425"/>
        <w:textAlignment w:val="auto"/>
        <w:rPr>
          <w:rFonts w:ascii="楷体" w:eastAsia="楷体" w:hAnsi="楷体" w:cs="宋体"/>
          <w:bCs/>
          <w:snapToGrid/>
          <w:sz w:val="24"/>
          <w:szCs w:val="24"/>
          <w:lang w:eastAsia="zh-CN"/>
        </w:rPr>
      </w:pPr>
      <w:r w:rsidRPr="00233AC0">
        <w:rPr>
          <w:rFonts w:ascii="楷体" w:eastAsia="楷体" w:hAnsi="楷体" w:cs="宋体" w:hint="eastAsia"/>
          <w:bCs/>
          <w:snapToGrid/>
          <w:sz w:val="24"/>
          <w:szCs w:val="24"/>
          <w:lang w:eastAsia="zh-CN"/>
        </w:rPr>
        <w:t>培训讲师：</w:t>
      </w:r>
      <w:r>
        <w:rPr>
          <w:rFonts w:ascii="楷体" w:eastAsia="楷体" w:hAnsi="楷体" w:cs="宋体" w:hint="eastAsia"/>
          <w:bCs/>
          <w:snapToGrid/>
          <w:sz w:val="24"/>
          <w:szCs w:val="24"/>
          <w:lang w:eastAsia="zh-CN"/>
        </w:rPr>
        <w:t>王波瑞、</w:t>
      </w:r>
      <w:proofErr w:type="gramStart"/>
      <w:r>
        <w:rPr>
          <w:rFonts w:ascii="楷体" w:eastAsia="楷体" w:hAnsi="楷体" w:cs="宋体" w:hint="eastAsia"/>
          <w:bCs/>
          <w:snapToGrid/>
          <w:sz w:val="24"/>
          <w:szCs w:val="24"/>
          <w:lang w:eastAsia="zh-CN"/>
        </w:rPr>
        <w:t>孙梦瑶</w:t>
      </w:r>
      <w:proofErr w:type="gramEnd"/>
    </w:p>
    <w:p w14:paraId="266BCD56" w14:textId="59A1EF8F" w:rsidR="00233AC0" w:rsidRPr="00233AC0" w:rsidRDefault="00233AC0" w:rsidP="00233AC0">
      <w:pPr>
        <w:kinsoku/>
        <w:autoSpaceDE/>
        <w:autoSpaceDN/>
        <w:adjustRightInd/>
        <w:snapToGrid/>
        <w:ind w:firstLineChars="177" w:firstLine="425"/>
        <w:textAlignment w:val="auto"/>
        <w:rPr>
          <w:rFonts w:ascii="楷体" w:eastAsia="楷体" w:hAnsi="楷体" w:cs="宋体" w:hint="eastAsia"/>
          <w:bCs/>
          <w:snapToGrid/>
          <w:sz w:val="24"/>
          <w:szCs w:val="24"/>
          <w:lang w:eastAsia="zh-CN"/>
        </w:rPr>
      </w:pPr>
      <w:r w:rsidRPr="00233AC0">
        <w:rPr>
          <w:rFonts w:ascii="楷体" w:eastAsia="楷体" w:hAnsi="楷体" w:cs="宋体" w:hint="eastAsia"/>
          <w:bCs/>
          <w:snapToGrid/>
          <w:sz w:val="24"/>
          <w:szCs w:val="24"/>
          <w:lang w:eastAsia="zh-CN"/>
        </w:rPr>
        <w:t>培训地点：</w:t>
      </w:r>
      <w:r>
        <w:rPr>
          <w:rFonts w:ascii="楷体" w:eastAsia="楷体" w:hAnsi="楷体" w:cs="宋体" w:hint="eastAsia"/>
          <w:bCs/>
          <w:snapToGrid/>
          <w:sz w:val="24"/>
          <w:szCs w:val="24"/>
          <w:lang w:eastAsia="zh-CN"/>
        </w:rPr>
        <w:t>沈阳体育学院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1"/>
        <w:gridCol w:w="2666"/>
        <w:gridCol w:w="2629"/>
        <w:gridCol w:w="2613"/>
      </w:tblGrid>
      <w:tr w:rsidR="00233AC0" w14:paraId="3A34CDDC" w14:textId="77777777" w:rsidTr="00233AC0">
        <w:trPr>
          <w:trHeight w:val="567"/>
          <w:jc w:val="center"/>
        </w:trPr>
        <w:tc>
          <w:tcPr>
            <w:tcW w:w="1008" w:type="pct"/>
            <w:shd w:val="clear" w:color="auto" w:fill="auto"/>
            <w:vAlign w:val="center"/>
          </w:tcPr>
          <w:p w14:paraId="7659D1CE" w14:textId="77777777" w:rsidR="00233AC0" w:rsidRPr="00233AC0" w:rsidRDefault="00233AC0" w:rsidP="00233AC0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课节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6ED2D5A0" w14:textId="2D691DE5" w:rsidR="00233AC0" w:rsidRPr="00233AC0" w:rsidRDefault="00233AC0" w:rsidP="00233AC0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10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月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27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295A5CD4" w14:textId="24298D4F" w:rsidR="00233AC0" w:rsidRPr="00233AC0" w:rsidRDefault="00233AC0" w:rsidP="00233AC0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10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月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28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AA7F4AE" w14:textId="48D697AC" w:rsidR="00233AC0" w:rsidRPr="00233AC0" w:rsidRDefault="00233AC0" w:rsidP="00233AC0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10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月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29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68626B82" w14:textId="471B1B5F" w:rsidR="00233AC0" w:rsidRPr="00233AC0" w:rsidRDefault="00233AC0" w:rsidP="00233AC0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10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月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30</w:t>
            </w:r>
            <w:r w:rsidRPr="00233AC0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233AC0" w14:paraId="6FFAF017" w14:textId="77777777" w:rsidTr="00233AC0">
        <w:trPr>
          <w:trHeight w:val="794"/>
          <w:jc w:val="center"/>
        </w:trPr>
        <w:tc>
          <w:tcPr>
            <w:tcW w:w="1008" w:type="pct"/>
            <w:vAlign w:val="center"/>
          </w:tcPr>
          <w:p w14:paraId="16CA4345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8:30—9:15</w:t>
            </w:r>
          </w:p>
        </w:tc>
        <w:tc>
          <w:tcPr>
            <w:tcW w:w="1008" w:type="pct"/>
            <w:vAlign w:val="center"/>
          </w:tcPr>
          <w:p w14:paraId="68837971" w14:textId="77777777" w:rsidR="00233AC0" w:rsidRDefault="00233AC0" w:rsidP="00D05AC7">
            <w:pPr>
              <w:pStyle w:val="TableText"/>
              <w:numPr>
                <w:ilvl w:val="0"/>
                <w:numId w:val="1"/>
              </w:numPr>
              <w:spacing w:line="440" w:lineRule="exact"/>
              <w:ind w:left="0" w:firstLine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开幕仪式</w:t>
            </w:r>
          </w:p>
          <w:p w14:paraId="16D6D9EA" w14:textId="77777777" w:rsidR="00233AC0" w:rsidRPr="001963B8" w:rsidRDefault="00233AC0" w:rsidP="00D05AC7">
            <w:pPr>
              <w:pStyle w:val="TableText"/>
              <w:numPr>
                <w:ilvl w:val="0"/>
                <w:numId w:val="1"/>
              </w:numPr>
              <w:spacing w:line="440" w:lineRule="exact"/>
              <w:ind w:left="0" w:firstLine="0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裁判法规解读</w:t>
            </w:r>
          </w:p>
        </w:tc>
        <w:tc>
          <w:tcPr>
            <w:tcW w:w="1006" w:type="pct"/>
            <w:vAlign w:val="center"/>
          </w:tcPr>
          <w:p w14:paraId="4B72B522" w14:textId="6A97A21A" w:rsidR="00233AC0" w:rsidRPr="0016663E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</w:pPr>
            <w:r w:rsidRPr="0016663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裁判技术</w:t>
            </w:r>
            <w:r w:rsidR="006F7E85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详</w:t>
            </w:r>
            <w:r w:rsidRPr="0016663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解</w:t>
            </w:r>
          </w:p>
        </w:tc>
        <w:tc>
          <w:tcPr>
            <w:tcW w:w="992" w:type="pct"/>
            <w:vAlign w:val="center"/>
          </w:tcPr>
          <w:p w14:paraId="0A9BAC00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T20板球赛解读</w:t>
            </w:r>
          </w:p>
        </w:tc>
        <w:tc>
          <w:tcPr>
            <w:tcW w:w="986" w:type="pct"/>
            <w:vMerge w:val="restart"/>
            <w:vAlign w:val="center"/>
          </w:tcPr>
          <w:p w14:paraId="78BB5267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比赛实践及考核</w:t>
            </w:r>
          </w:p>
          <w:p w14:paraId="11223CE4" w14:textId="6881E6E1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（根据学员人数安排）</w:t>
            </w:r>
          </w:p>
        </w:tc>
      </w:tr>
      <w:tr w:rsidR="00233AC0" w14:paraId="02D42F41" w14:textId="77777777" w:rsidTr="00233AC0">
        <w:trPr>
          <w:trHeight w:val="794"/>
          <w:jc w:val="center"/>
        </w:trPr>
        <w:tc>
          <w:tcPr>
            <w:tcW w:w="1008" w:type="pct"/>
            <w:vAlign w:val="center"/>
          </w:tcPr>
          <w:p w14:paraId="08D98D48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9:25-10:10</w:t>
            </w:r>
          </w:p>
        </w:tc>
        <w:tc>
          <w:tcPr>
            <w:tcW w:w="1008" w:type="pct"/>
            <w:vAlign w:val="center"/>
          </w:tcPr>
          <w:p w14:paraId="1D0DBE6D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板球精神讨论及展示</w:t>
            </w:r>
          </w:p>
        </w:tc>
        <w:tc>
          <w:tcPr>
            <w:tcW w:w="1006" w:type="pct"/>
            <w:vAlign w:val="center"/>
          </w:tcPr>
          <w:p w14:paraId="334F2913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Law23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—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29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992" w:type="pct"/>
            <w:vAlign w:val="center"/>
          </w:tcPr>
          <w:p w14:paraId="7EE790B2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处理纠纷、解决冲突、规程制定</w:t>
            </w:r>
          </w:p>
        </w:tc>
        <w:tc>
          <w:tcPr>
            <w:tcW w:w="986" w:type="pct"/>
            <w:vMerge/>
            <w:vAlign w:val="center"/>
          </w:tcPr>
          <w:p w14:paraId="14A6F1DB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</w:tr>
      <w:tr w:rsidR="00233AC0" w14:paraId="37817979" w14:textId="77777777" w:rsidTr="00233AC0">
        <w:trPr>
          <w:trHeight w:val="794"/>
          <w:jc w:val="center"/>
        </w:trPr>
        <w:tc>
          <w:tcPr>
            <w:tcW w:w="1008" w:type="pct"/>
            <w:vAlign w:val="center"/>
          </w:tcPr>
          <w:p w14:paraId="21258E22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10:20—11:10</w:t>
            </w:r>
          </w:p>
        </w:tc>
        <w:tc>
          <w:tcPr>
            <w:tcW w:w="1008" w:type="pct"/>
            <w:vAlign w:val="center"/>
          </w:tcPr>
          <w:p w14:paraId="38CA66B3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Law1—8讲解</w:t>
            </w:r>
          </w:p>
        </w:tc>
        <w:tc>
          <w:tcPr>
            <w:tcW w:w="1006" w:type="pct"/>
            <w:vAlign w:val="center"/>
          </w:tcPr>
          <w:p w14:paraId="47D2C249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Law30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—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42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992" w:type="pct"/>
            <w:vAlign w:val="center"/>
          </w:tcPr>
          <w:p w14:paraId="7B743B84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理论考试</w:t>
            </w:r>
          </w:p>
        </w:tc>
        <w:tc>
          <w:tcPr>
            <w:tcW w:w="986" w:type="pct"/>
            <w:vMerge/>
            <w:vAlign w:val="center"/>
          </w:tcPr>
          <w:p w14:paraId="351C1E5B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</w:tr>
      <w:tr w:rsidR="00233AC0" w14:paraId="1C8DA495" w14:textId="77777777" w:rsidTr="00233AC0">
        <w:trPr>
          <w:trHeight w:val="794"/>
          <w:jc w:val="center"/>
        </w:trPr>
        <w:tc>
          <w:tcPr>
            <w:tcW w:w="1008" w:type="pct"/>
            <w:vAlign w:val="center"/>
          </w:tcPr>
          <w:p w14:paraId="7D1DDC43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13:30-14:15</w:t>
            </w:r>
          </w:p>
        </w:tc>
        <w:tc>
          <w:tcPr>
            <w:tcW w:w="1008" w:type="pct"/>
            <w:vAlign w:val="center"/>
          </w:tcPr>
          <w:p w14:paraId="7D97F737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Law17—23讲解</w:t>
            </w:r>
          </w:p>
        </w:tc>
        <w:tc>
          <w:tcPr>
            <w:tcW w:w="1006" w:type="pct"/>
            <w:vAlign w:val="center"/>
          </w:tcPr>
          <w:p w14:paraId="49F3E301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比赛管理和裁判职责</w:t>
            </w:r>
          </w:p>
        </w:tc>
        <w:tc>
          <w:tcPr>
            <w:tcW w:w="992" w:type="pct"/>
            <w:vMerge w:val="restart"/>
            <w:vAlign w:val="center"/>
          </w:tcPr>
          <w:p w14:paraId="766FA02C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比赛场地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布置</w:t>
            </w:r>
          </w:p>
          <w:p w14:paraId="59045602" w14:textId="1CC106A4" w:rsidR="006F7E85" w:rsidRDefault="006F7E85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（室外）</w:t>
            </w:r>
          </w:p>
        </w:tc>
        <w:tc>
          <w:tcPr>
            <w:tcW w:w="986" w:type="pct"/>
            <w:vMerge/>
            <w:vAlign w:val="center"/>
          </w:tcPr>
          <w:p w14:paraId="16647F65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</w:tr>
      <w:tr w:rsidR="00233AC0" w14:paraId="5AB7CCE0" w14:textId="77777777" w:rsidTr="00233AC0">
        <w:trPr>
          <w:trHeight w:val="794"/>
          <w:jc w:val="center"/>
        </w:trPr>
        <w:tc>
          <w:tcPr>
            <w:tcW w:w="1008" w:type="pct"/>
            <w:vMerge w:val="restart"/>
            <w:vAlign w:val="center"/>
          </w:tcPr>
          <w:p w14:paraId="00EFA307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14:25-15:10</w:t>
            </w:r>
          </w:p>
        </w:tc>
        <w:tc>
          <w:tcPr>
            <w:tcW w:w="1008" w:type="pct"/>
            <w:vMerge w:val="restart"/>
            <w:vAlign w:val="center"/>
          </w:tcPr>
          <w:p w14:paraId="044DEE2E" w14:textId="77777777" w:rsidR="00233AC0" w:rsidRPr="00D05AC7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D05AC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分组进行整理并展示</w:t>
            </w:r>
          </w:p>
        </w:tc>
        <w:tc>
          <w:tcPr>
            <w:tcW w:w="1006" w:type="pct"/>
            <w:vAlign w:val="center"/>
          </w:tcPr>
          <w:p w14:paraId="3CB71BC0" w14:textId="77777777" w:rsidR="00233AC0" w:rsidRPr="00D05AC7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05AC7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裁判法与场地裁判要求</w:t>
            </w:r>
          </w:p>
        </w:tc>
        <w:tc>
          <w:tcPr>
            <w:tcW w:w="992" w:type="pct"/>
            <w:vMerge/>
            <w:vAlign w:val="center"/>
          </w:tcPr>
          <w:p w14:paraId="57B06D32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</w:tc>
        <w:tc>
          <w:tcPr>
            <w:tcW w:w="986" w:type="pct"/>
            <w:vMerge/>
            <w:vAlign w:val="center"/>
          </w:tcPr>
          <w:p w14:paraId="265A0CF4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</w:tr>
      <w:tr w:rsidR="00233AC0" w14:paraId="39893AA8" w14:textId="77777777" w:rsidTr="00233AC0">
        <w:trPr>
          <w:trHeight w:val="794"/>
          <w:jc w:val="center"/>
        </w:trPr>
        <w:tc>
          <w:tcPr>
            <w:tcW w:w="1008" w:type="pct"/>
            <w:vMerge/>
            <w:vAlign w:val="center"/>
          </w:tcPr>
          <w:p w14:paraId="583B9440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</w:tc>
        <w:tc>
          <w:tcPr>
            <w:tcW w:w="1008" w:type="pct"/>
            <w:vMerge/>
            <w:vAlign w:val="center"/>
          </w:tcPr>
          <w:p w14:paraId="00B34427" w14:textId="77777777" w:rsidR="00233AC0" w:rsidRPr="00D05AC7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784A4B08" w14:textId="77777777" w:rsidR="00233AC0" w:rsidRPr="00D05AC7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05AC7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小组分别整理后展示</w:t>
            </w:r>
          </w:p>
        </w:tc>
        <w:tc>
          <w:tcPr>
            <w:tcW w:w="992" w:type="pct"/>
            <w:vMerge/>
            <w:vAlign w:val="center"/>
          </w:tcPr>
          <w:p w14:paraId="552D5AF5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986" w:type="pct"/>
            <w:vMerge/>
            <w:vAlign w:val="center"/>
          </w:tcPr>
          <w:p w14:paraId="48074158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</w:tr>
      <w:tr w:rsidR="00233AC0" w14:paraId="4DD18198" w14:textId="77777777" w:rsidTr="00233AC0">
        <w:trPr>
          <w:trHeight w:val="794"/>
          <w:jc w:val="center"/>
        </w:trPr>
        <w:tc>
          <w:tcPr>
            <w:tcW w:w="1008" w:type="pct"/>
            <w:vMerge w:val="restart"/>
            <w:vAlign w:val="center"/>
          </w:tcPr>
          <w:p w14:paraId="609C05C3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  <w:p w14:paraId="5C95F5A9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15:20-17:00</w:t>
            </w:r>
          </w:p>
          <w:p w14:paraId="7FFE3CD7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</w:tc>
        <w:tc>
          <w:tcPr>
            <w:tcW w:w="1008" w:type="pct"/>
            <w:vMerge w:val="restart"/>
            <w:vAlign w:val="center"/>
          </w:tcPr>
          <w:p w14:paraId="5D12C89A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规则演示讲解</w:t>
            </w:r>
          </w:p>
          <w:p w14:paraId="57710C40" w14:textId="7714D9F3" w:rsidR="006F7E85" w:rsidRDefault="006F7E85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（室外）</w:t>
            </w:r>
          </w:p>
        </w:tc>
        <w:tc>
          <w:tcPr>
            <w:tcW w:w="1006" w:type="pct"/>
            <w:vAlign w:val="center"/>
          </w:tcPr>
          <w:p w14:paraId="26EFCEBD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记分学习</w:t>
            </w:r>
          </w:p>
        </w:tc>
        <w:tc>
          <w:tcPr>
            <w:tcW w:w="992" w:type="pct"/>
            <w:vMerge/>
            <w:vAlign w:val="center"/>
          </w:tcPr>
          <w:p w14:paraId="58DAFA2E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986" w:type="pct"/>
            <w:vMerge/>
            <w:vAlign w:val="center"/>
          </w:tcPr>
          <w:p w14:paraId="63BCA886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</w:tr>
      <w:tr w:rsidR="00233AC0" w14:paraId="3536F0E5" w14:textId="77777777" w:rsidTr="00233AC0">
        <w:trPr>
          <w:trHeight w:val="794"/>
          <w:jc w:val="center"/>
        </w:trPr>
        <w:tc>
          <w:tcPr>
            <w:tcW w:w="1008" w:type="pct"/>
            <w:vMerge/>
            <w:vAlign w:val="center"/>
          </w:tcPr>
          <w:p w14:paraId="7965773C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</w:tc>
        <w:tc>
          <w:tcPr>
            <w:tcW w:w="1008" w:type="pct"/>
            <w:vMerge/>
            <w:vAlign w:val="center"/>
          </w:tcPr>
          <w:p w14:paraId="449C42E4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</w:tc>
        <w:tc>
          <w:tcPr>
            <w:tcW w:w="1006" w:type="pct"/>
            <w:vAlign w:val="center"/>
          </w:tcPr>
          <w:p w14:paraId="198AE43A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规则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演示讲解</w:t>
            </w:r>
          </w:p>
          <w:p w14:paraId="39BEF5AD" w14:textId="562E015B" w:rsidR="006F7E85" w:rsidRDefault="006F7E85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（室外）</w:t>
            </w:r>
          </w:p>
        </w:tc>
        <w:tc>
          <w:tcPr>
            <w:tcW w:w="992" w:type="pct"/>
            <w:vMerge/>
            <w:vAlign w:val="center"/>
          </w:tcPr>
          <w:p w14:paraId="6DE3C74F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986" w:type="pct"/>
            <w:vMerge/>
            <w:vAlign w:val="center"/>
          </w:tcPr>
          <w:p w14:paraId="56621D41" w14:textId="77777777" w:rsidR="00233AC0" w:rsidRDefault="00233AC0" w:rsidP="00D05AC7">
            <w:pPr>
              <w:pStyle w:val="TableText"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</w:tr>
    </w:tbl>
    <w:p w14:paraId="4F627EE4" w14:textId="77777777" w:rsidR="001963B8" w:rsidRDefault="001963B8" w:rsidP="00233AC0">
      <w:pPr>
        <w:pStyle w:val="TableText"/>
        <w:spacing w:before="231" w:line="202" w:lineRule="auto"/>
        <w:jc w:val="both"/>
        <w:textAlignment w:val="center"/>
        <w:rPr>
          <w:rFonts w:eastAsia="宋体" w:hint="eastAsia"/>
          <w:lang w:eastAsia="zh-CN"/>
        </w:rPr>
      </w:pPr>
    </w:p>
    <w:sectPr w:rsidR="001963B8" w:rsidSect="00D05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5F7E" w14:textId="77777777" w:rsidR="000110A1" w:rsidRDefault="00463288">
      <w:r>
        <w:separator/>
      </w:r>
    </w:p>
  </w:endnote>
  <w:endnote w:type="continuationSeparator" w:id="0">
    <w:p w14:paraId="38500A38" w14:textId="77777777" w:rsidR="000110A1" w:rsidRDefault="004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2DA3" w14:textId="77777777" w:rsidR="001963B8" w:rsidRDefault="001963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A209" w14:textId="77777777" w:rsidR="001963B8" w:rsidRDefault="001963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5ECF" w14:textId="77777777" w:rsidR="001963B8" w:rsidRDefault="001963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1114" w14:textId="77777777" w:rsidR="000110A1" w:rsidRDefault="00463288">
      <w:r>
        <w:separator/>
      </w:r>
    </w:p>
  </w:footnote>
  <w:footnote w:type="continuationSeparator" w:id="0">
    <w:p w14:paraId="75FBAD29" w14:textId="77777777" w:rsidR="000110A1" w:rsidRDefault="0046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243B" w14:textId="77777777" w:rsidR="001963B8" w:rsidRDefault="001963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EF9F" w14:textId="77777777" w:rsidR="001963B8" w:rsidRDefault="001963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E760" w14:textId="77777777" w:rsidR="001963B8" w:rsidRDefault="001963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D70"/>
    <w:multiLevelType w:val="hybridMultilevel"/>
    <w:tmpl w:val="94282846"/>
    <w:lvl w:ilvl="0" w:tplc="87182F14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1" w:hanging="440"/>
      </w:pPr>
    </w:lvl>
    <w:lvl w:ilvl="2" w:tplc="0409001B" w:tentative="1">
      <w:start w:val="1"/>
      <w:numFmt w:val="lowerRoman"/>
      <w:lvlText w:val="%3."/>
      <w:lvlJc w:val="righ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9" w:tentative="1">
      <w:start w:val="1"/>
      <w:numFmt w:val="lowerLetter"/>
      <w:lvlText w:val="%5)"/>
      <w:lvlJc w:val="left"/>
      <w:pPr>
        <w:ind w:left="2431" w:hanging="440"/>
      </w:pPr>
    </w:lvl>
    <w:lvl w:ilvl="5" w:tplc="0409001B" w:tentative="1">
      <w:start w:val="1"/>
      <w:numFmt w:val="lowerRoman"/>
      <w:lvlText w:val="%6."/>
      <w:lvlJc w:val="righ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9" w:tentative="1">
      <w:start w:val="1"/>
      <w:numFmt w:val="lowerLetter"/>
      <w:lvlText w:val="%8)"/>
      <w:lvlJc w:val="left"/>
      <w:pPr>
        <w:ind w:left="3751" w:hanging="440"/>
      </w:pPr>
    </w:lvl>
    <w:lvl w:ilvl="8" w:tplc="0409001B" w:tentative="1">
      <w:start w:val="1"/>
      <w:numFmt w:val="lowerRoman"/>
      <w:lvlText w:val="%9."/>
      <w:lvlJc w:val="right"/>
      <w:pPr>
        <w:ind w:left="4191" w:hanging="440"/>
      </w:pPr>
    </w:lvl>
  </w:abstractNum>
  <w:num w:numId="1" w16cid:durableId="17808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WMxZjE3YTMyZWY3N2I4NGQ3YmU3Yzc0NDYwYWE4OTUifQ=="/>
  </w:docVars>
  <w:rsids>
    <w:rsidRoot w:val="000110A1"/>
    <w:rsid w:val="000110A1"/>
    <w:rsid w:val="0016663E"/>
    <w:rsid w:val="001939A7"/>
    <w:rsid w:val="001963B8"/>
    <w:rsid w:val="00233AC0"/>
    <w:rsid w:val="00463288"/>
    <w:rsid w:val="006F7E85"/>
    <w:rsid w:val="00AE2085"/>
    <w:rsid w:val="00D05AC7"/>
    <w:rsid w:val="06921E56"/>
    <w:rsid w:val="135950FD"/>
    <w:rsid w:val="14DD19CE"/>
    <w:rsid w:val="22683D4C"/>
    <w:rsid w:val="412179FD"/>
    <w:rsid w:val="4ED93D6E"/>
    <w:rsid w:val="53CA471A"/>
    <w:rsid w:val="5C264684"/>
    <w:rsid w:val="5D903123"/>
    <w:rsid w:val="5F690B1C"/>
    <w:rsid w:val="75D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87648A"/>
  <w15:docId w15:val="{9E313494-1189-470B-9A7C-811B9660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sz w:val="19"/>
      <w:szCs w:val="19"/>
    </w:rPr>
  </w:style>
  <w:style w:type="paragraph" w:styleId="a3">
    <w:name w:val="header"/>
    <w:basedOn w:val="a"/>
    <w:link w:val="a4"/>
    <w:rsid w:val="001963B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63B8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1963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963B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Natasha Campbell</dc:creator>
  <cp:lastModifiedBy>Eras</cp:lastModifiedBy>
  <cp:revision>3</cp:revision>
  <dcterms:created xsi:type="dcterms:W3CDTF">2012-04-20T10:55:00Z</dcterms:created>
  <dcterms:modified xsi:type="dcterms:W3CDTF">2025-10-17T04:16:00Z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2024-08-07T23:16:42Z</vt:filetime>
  </property>
  <property fmtid="{D5CDD505-2E9C-101B-9397-08002B2CF9AE}" pid="4" name="KSOProductBuildVer">
    <vt:lpwstr>2052-12.1.0.18608</vt:lpwstr>
  </property>
  <property fmtid="{D5CDD505-2E9C-101B-9397-08002B2CF9AE}" pid="5" name="ICV">
    <vt:lpwstr>AD3C4E79063A4D3683BE90841CD54EBB_13</vt:lpwstr>
  </property>
</Properties>
</file>