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</w:t>
      </w:r>
    </w:p>
    <w:p>
      <w:pPr>
        <w:autoSpaceDN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匹　克　球　</w:t>
      </w:r>
      <w:r>
        <w:rPr>
          <w:rFonts w:hint="eastAsia" w:ascii="宋体" w:hAnsi="宋体"/>
          <w:b/>
          <w:sz w:val="36"/>
          <w:szCs w:val="36"/>
        </w:rPr>
        <w:t>项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 xml:space="preserve">目 办 赛 指 南 </w:t>
      </w:r>
    </w:p>
    <w:p>
      <w:pPr>
        <w:autoSpaceDN w:val="0"/>
        <w:spacing w:line="360" w:lineRule="auto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　                    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</w:rPr>
        <w:t xml:space="preserve">试 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行）</w:t>
      </w:r>
    </w:p>
    <w:p>
      <w:pPr>
        <w:autoSpaceDN w:val="0"/>
        <w:spacing w:line="360" w:lineRule="auto"/>
        <w:rPr>
          <w:rFonts w:hint="eastAsia"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为进一步发挥新兴举国体制优势，搭建高水平赛事交流平台，方便市场多元主体参与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赛事活动，以赛事活动为引领，为我国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运动走科学的可持续发展之路奠定基础,制定本办赛指南。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本办赛指南所指的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项目赛事，是指由国家体育总局小球运动管理中心、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中国匹克球运动工作委员会</w:t>
      </w:r>
      <w:r>
        <w:rPr>
          <w:rFonts w:hint="eastAsia" w:ascii="仿宋" w:hAnsi="仿宋" w:eastAsia="仿宋" w:cs="仿宋"/>
          <w:sz w:val="32"/>
          <w:szCs w:val="32"/>
        </w:rPr>
        <w:t>（以下简称“中心和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”）主办的国际性和全国性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项目单项赛事活动。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主办的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项目全国性赛事活动包括目前列入《中国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赛事活动名录》（以下简称：赛事名录）的赛事，也包括中心和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依法自行组织的其他赛事活动。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赛事名录以外的全国性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赛事活动，包括商业性、群众性、公益性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赛事活动，不需要审批，合法的法律主体（包括中心和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）均可自行依法组织和举办此类赛事活动。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bCs/>
          <w:sz w:val="32"/>
          <w:szCs w:val="32"/>
        </w:rPr>
        <w:t>项目作为待发展项目，除办赛全部费用由承办单位负担，中心不下拨任何费用的国际赛事及国内少数商业性赛事以外，中心和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bCs/>
          <w:sz w:val="32"/>
          <w:szCs w:val="32"/>
        </w:rPr>
        <w:t>原则上对在国内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由小球中心</w:t>
      </w:r>
      <w:r>
        <w:rPr>
          <w:rFonts w:hint="eastAsia" w:ascii="仿宋" w:hAnsi="仿宋" w:eastAsia="仿宋" w:cs="仿宋"/>
          <w:bCs/>
          <w:sz w:val="32"/>
          <w:szCs w:val="32"/>
        </w:rPr>
        <w:t>举办的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bCs/>
          <w:sz w:val="32"/>
          <w:szCs w:val="32"/>
        </w:rPr>
        <w:t>赛事活动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采取市场化原则</w:t>
      </w:r>
      <w:r>
        <w:rPr>
          <w:rFonts w:hint="eastAsia" w:ascii="仿宋" w:hAnsi="仿宋" w:eastAsia="仿宋" w:cs="仿宋"/>
          <w:bCs/>
          <w:sz w:val="32"/>
          <w:szCs w:val="32"/>
        </w:rPr>
        <w:t>收取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ＩＰ使用和服务费，</w:t>
      </w:r>
      <w:r>
        <w:rPr>
          <w:rFonts w:hint="eastAsia" w:ascii="仿宋" w:hAnsi="仿宋" w:eastAsia="仿宋" w:cs="仿宋"/>
          <w:bCs/>
          <w:sz w:val="32"/>
          <w:szCs w:val="32"/>
        </w:rPr>
        <w:t>收取数额由双方协议另行约定。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以国家体育总局名义主办的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（如果</w:t>
      </w:r>
      <w:r>
        <w:rPr>
          <w:rFonts w:hint="eastAsia" w:ascii="仿宋" w:hAnsi="仿宋" w:eastAsia="仿宋" w:cs="仿宋"/>
          <w:sz w:val="32"/>
          <w:szCs w:val="32"/>
        </w:rPr>
        <w:t>含有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项目的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综合性运动会的申办和管理，遵循国家体育总局关于综合性运动会的相关规定。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419" w:firstLineChars="13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第五条 </w:t>
      </w:r>
      <w:r>
        <w:rPr>
          <w:rFonts w:hint="eastAsia" w:ascii="仿宋" w:hAnsi="仿宋" w:eastAsia="仿宋" w:cs="仿宋"/>
          <w:sz w:val="32"/>
          <w:szCs w:val="32"/>
        </w:rPr>
        <w:t>在我国举办的国际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赛事活动，实行分类管理，需事先按程序报相关部门办理手续。在华举办的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赛事活动，根据《体育赛事活动管理办法》第二章第七条要求，按照国际体育赛事活动主办方、比赛性质和重要程度，确认审批流程，并据此履行审批或报备手续。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419" w:firstLineChars="131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主办或与国际组织联合主办的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赛事，其名称可以使用“中国”、“全国”、“国家”、“中华”字样或具有类似含义的词汇。未经相关部门确认，其他赛事活动名称不得使用以上字样或具有类似含义的词汇。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由国际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单项组织与中心和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联合主办的体育赛事活动，其名称可以使用“世界”、“亚洲”字样或具有类似含义的词汇。未经相关部门确认，其他赛事活动名称不得使用以上字样或具有类似含义的词汇。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制定并按年度更新</w:t>
      </w:r>
      <w:r>
        <w:rPr>
          <w:rFonts w:hint="eastAsia" w:ascii="仿宋" w:hAnsi="仿宋" w:eastAsia="仿宋" w:cs="仿宋"/>
          <w:bCs/>
          <w:sz w:val="32"/>
          <w:szCs w:val="32"/>
        </w:rPr>
        <w:t>《中国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bCs/>
          <w:sz w:val="32"/>
          <w:szCs w:val="32"/>
        </w:rPr>
        <w:t>赛事名录》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名录内包含由中心和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主办的全国性、区域性赛事；由中心和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指导、由地方主办的全国性、区域性赛事；由中心和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主办或指导的全国性群体赛事活动等。具体以</w:t>
      </w:r>
      <w:r>
        <w:rPr>
          <w:rFonts w:hint="eastAsia" w:ascii="仿宋" w:hAnsi="仿宋" w:eastAsia="仿宋" w:cs="仿宋"/>
          <w:bCs/>
          <w:sz w:val="32"/>
          <w:szCs w:val="32"/>
        </w:rPr>
        <w:t>《中国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bCs/>
          <w:sz w:val="32"/>
          <w:szCs w:val="32"/>
        </w:rPr>
        <w:t>赛事活动名录》为准。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国际性赛事的承办申请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单项国际组织，将于每年在其官方网站上公布未来拟举办的世界或亚洲地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赛事。赛事活动承办单位需按照国际单项组织规定的时间至少提前9个月向中心和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提交书面办赛申请和办赛方案。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在收到上述材料并初审合格后，向国际组织提交在中国举办上述赛事的意向函。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在收到国际组织同意在中国举办赛事回函后，正式通知申办单位，按照国家体育总局在华举办相应级别国际赛事的规定，准备办赛材料并逐级上报。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根据国家体育总局《在华举办国际体育赛事审批事项改革方案》的有关规定，申请举办B类国际赛事（一般指中国公开赛、中国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巡回赛</w:t>
      </w:r>
      <w:r>
        <w:rPr>
          <w:rFonts w:hint="eastAsia" w:ascii="仿宋" w:hAnsi="仿宋" w:eastAsia="仿宋" w:cs="仿宋"/>
          <w:sz w:val="32"/>
          <w:szCs w:val="32"/>
        </w:rPr>
        <w:t>等）的需向中心和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提交：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申办函（写明经费承担情况和接待条件）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赛事活动组织方案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地市级政府同意举办赛事的函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安全方案和应急处置预案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根据国家体育总局在《在华举办国际体育赛事审批事项改革方案》的有关规定，申请举办A类国际赛事（一般指世界或亚洲锦标赛级别的比赛）的需向中心和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提交：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申办函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赛事活动组织方案（含交通和接待条件）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经费承担情况说明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赛事活动预算表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地市级政府同意举办赛事的函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所在省、自治区、直辖市、新疆生产建设兵团体育局同意举办赛事的函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疫情防控方案和安全应急处置预案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根据国家体育总局《在华举办国际体育赛事审批事项改革方案》的有关规定，申请举办C类国际赛事的向中心和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提交赛事备案文件即可。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全国性、区域性赛事活动的申办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主办的全国性、区域性赛事活动，面向社会寻求合作伙伴共同举办，招募承办单位。申请承办由中心和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主办的全国性、区域性赛事活动的组织或个人（以下简称“申办方”），应当具备下列条件：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（一）具有独立法人资格，能够独立承担民事责任；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（二）拥有与经营范围和赛事活动规模相适应的组织机构和专业管理人员；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（三）具有完备的赛事活动组织实施方案；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（四）拥有与赛事活动规模相适应的保障经费；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58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（五）拥有达到赛事活动标准的场地设施；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58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（六）能够开具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符合相关规定的</w:t>
      </w:r>
      <w:r>
        <w:rPr>
          <w:rFonts w:hint="eastAsia" w:ascii="仿宋" w:hAnsi="仿宋" w:eastAsia="仿宋" w:cs="仿宋"/>
          <w:sz w:val="32"/>
          <w:szCs w:val="32"/>
        </w:rPr>
        <w:t>正式发票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588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（七）满足中心和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办赛所需的其它政策性条件。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申办单位向中心和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提交的承办意向书及材料包括：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（一）名称，包括赛事活动名称、承办单位名称等；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（二）申办方执照或法人登记证书扫描件和账号信息；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（三）经费的来源和预算；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（四）该项赛事活动的筹备实施方案，包括场地条件、组织方案、接待方案、工作计划；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（五）赛事活动安全方案；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（六）赛事应急处置预案；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（七）参赛人员保险方案；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（八）地方体育主管部门同意办赛的函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（九）其他需要说明的事项。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第十六条</w:t>
      </w:r>
      <w:r>
        <w:rPr>
          <w:rFonts w:hint="eastAsia" w:ascii="仿宋" w:hAnsi="仿宋" w:eastAsia="仿宋" w:cs="仿宋"/>
          <w:sz w:val="32"/>
          <w:szCs w:val="32"/>
        </w:rPr>
        <w:t xml:space="preserve"> 中心将通过招标形式（公开招标、邀请招标）、竞争性谈判等方式确定赛事承办单位。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第十七条</w:t>
      </w:r>
      <w:r>
        <w:rPr>
          <w:rFonts w:hint="eastAsia" w:ascii="仿宋" w:hAnsi="仿宋" w:eastAsia="仿宋" w:cs="仿宋"/>
          <w:sz w:val="32"/>
          <w:szCs w:val="32"/>
        </w:rPr>
        <w:t xml:space="preserve"> 承办单位需与中心签订赛事活动承办协议。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 xml:space="preserve"> 承办单位签订承办协议后，全国性、区域性赛事活动需在赛前3个月向中心报送赛事活动组织方案。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第十九条</w:t>
      </w:r>
      <w:r>
        <w:rPr>
          <w:rFonts w:hint="eastAsia" w:ascii="仿宋" w:hAnsi="仿宋" w:eastAsia="仿宋" w:cs="仿宋"/>
          <w:sz w:val="32"/>
          <w:szCs w:val="32"/>
        </w:rPr>
        <w:t xml:space="preserve"> 赛事举办需要办理公安、交通、工商、卫生、税务等其它审批手续的，承办人应当按照有关规定办理。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第二十条</w:t>
      </w:r>
      <w:r>
        <w:rPr>
          <w:rFonts w:hint="eastAsia" w:ascii="仿宋" w:hAnsi="仿宋" w:eastAsia="仿宋" w:cs="仿宋"/>
          <w:sz w:val="32"/>
          <w:szCs w:val="32"/>
        </w:rPr>
        <w:t xml:space="preserve"> 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指导，地方主办的全国性、区域性赛事活动所有权属于中心和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，市场开发权、知识产权、媒体转播权等由中心和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与申办方共同拥有，或由中心和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授权申办方单独拥有。具体由双方签订赛事合作协议约定。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第二十一条</w:t>
      </w:r>
      <w:r>
        <w:rPr>
          <w:rFonts w:hint="eastAsia" w:ascii="仿宋" w:hAnsi="仿宋" w:eastAsia="仿宋" w:cs="仿宋"/>
          <w:sz w:val="32"/>
          <w:szCs w:val="32"/>
        </w:rPr>
        <w:t xml:space="preserve"> 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指导，地方主办的全国性、区域性赛事活动除参考上述第十四条和第十五条向中心和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提交相关资料外，还需提供赛事活动招商方案或办赛资金说明。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第二十二条</w:t>
      </w:r>
      <w:r>
        <w:rPr>
          <w:rFonts w:hint="eastAsia" w:ascii="仿宋" w:hAnsi="仿宋" w:eastAsia="仿宋" w:cs="仿宋"/>
          <w:sz w:val="32"/>
          <w:szCs w:val="32"/>
        </w:rPr>
        <w:t xml:space="preserve"> 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指导，地方主办的全国性、区域性赛事活动由一家申办方申请承办的，在提供上述第十四条和第十五条列明各项材料，经中心和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审核无误的情况下，复函回复准予承办相关赛事活动；由两家及以上申办方申请承办的，由中心和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根据申办方提交材料组织竞争性谈判，经集体讨论最终确定承办方并面向社会进行公示。公示期不少于5个工作日。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全国性群体赛事活动的申办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第二十三条</w:t>
      </w:r>
      <w:r>
        <w:rPr>
          <w:rFonts w:hint="eastAsia" w:ascii="仿宋" w:hAnsi="仿宋" w:eastAsia="仿宋" w:cs="仿宋"/>
          <w:sz w:val="32"/>
          <w:szCs w:val="32"/>
        </w:rPr>
        <w:t xml:space="preserve"> 由国家体育总局立项，以政府购买、经费转移支付形式举办的线下全国性群体赛事活动，申办方除需在规定时间内提交上述第十四条、第十五条各项材料外，还应提供举办赛事活动所需政策性文件，如属地“市/区/县”政府或疫情防控部门同意举办赛事活动的函。上述函件根据总局申办政策变化适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第二十四条 </w:t>
      </w:r>
      <w:r>
        <w:rPr>
          <w:rFonts w:hint="eastAsia" w:ascii="仿宋" w:hAnsi="仿宋" w:eastAsia="仿宋" w:cs="仿宋"/>
          <w:sz w:val="32"/>
          <w:szCs w:val="32"/>
        </w:rPr>
        <w:t>上述赛事活动由中心和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负责公示、下发申办公告、收集申办方材料，上报国家体育总局审核，审核通过，由中心和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进行公告，公告无异议，由国家体育总局、中心和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、承办方签署两方或三方协议，按协议约定具体实施。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第二十五条</w:t>
      </w:r>
      <w:r>
        <w:rPr>
          <w:rFonts w:hint="eastAsia" w:ascii="仿宋" w:hAnsi="仿宋" w:eastAsia="仿宋" w:cs="仿宋"/>
          <w:sz w:val="32"/>
          <w:szCs w:val="32"/>
        </w:rPr>
        <w:t xml:space="preserve"> 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立项，按年度计划实施的全国性线下群体赛事活动，申办方需在规定时间内提交上述第十四条、第十五条各项材料。审核通过的承办方与中心和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签订双方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，按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约定具体实施。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第二十六条 </w:t>
      </w:r>
      <w:r>
        <w:rPr>
          <w:rFonts w:hint="eastAsia" w:ascii="仿宋" w:hAnsi="仿宋" w:eastAsia="仿宋" w:cs="仿宋"/>
          <w:sz w:val="32"/>
          <w:szCs w:val="32"/>
        </w:rPr>
        <w:t>利用互联网、新媒体平台等在线上举办集体类群体赛事活动，参考上述线下赛事活动申办办法和流程。所需提供的材料与上述第十四条、第十五条所需提供材料一致；线上举办的个人技能类群体赛事活动，无需提供上述第十四条、第十五条所述材料，活动由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或承办方统一组织实施。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地方认证赛事活动的申办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第二十七条</w:t>
      </w:r>
      <w:r>
        <w:rPr>
          <w:rFonts w:hint="eastAsia" w:ascii="仿宋" w:hAnsi="仿宋" w:eastAsia="仿宋" w:cs="仿宋"/>
          <w:sz w:val="32"/>
          <w:szCs w:val="32"/>
        </w:rPr>
        <w:t xml:space="preserve"> 地方赛事活动申请进入中心和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赛事体系的按照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中心和匹工委</w:t>
      </w:r>
      <w:r>
        <w:rPr>
          <w:rFonts w:hint="eastAsia" w:ascii="仿宋" w:hAnsi="仿宋" w:eastAsia="仿宋" w:cs="仿宋"/>
          <w:sz w:val="32"/>
          <w:szCs w:val="32"/>
        </w:rPr>
        <w:t>赛事认证管理办法的有关规定，先进行赛事分级和认证。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第二十八条</w:t>
      </w:r>
      <w:r>
        <w:rPr>
          <w:rFonts w:hint="eastAsia" w:ascii="仿宋" w:hAnsi="仿宋" w:eastAsia="仿宋" w:cs="仿宋"/>
          <w:sz w:val="32"/>
          <w:szCs w:val="32"/>
        </w:rPr>
        <w:t xml:space="preserve"> 经过中心和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认证的地方赛事，由地方自行组织办赛，无需申请，比赛成绩纳入中心和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的赛事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积分</w:t>
      </w:r>
      <w:r>
        <w:rPr>
          <w:rFonts w:hint="eastAsia" w:ascii="仿宋" w:hAnsi="仿宋" w:eastAsia="仿宋" w:cs="仿宋"/>
          <w:sz w:val="32"/>
          <w:szCs w:val="32"/>
        </w:rPr>
        <w:t>体系和认证系统。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赛事活动的管理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第二十九条</w:t>
      </w:r>
      <w:r>
        <w:rPr>
          <w:rFonts w:hint="eastAsia" w:ascii="仿宋" w:hAnsi="仿宋" w:eastAsia="仿宋" w:cs="仿宋"/>
          <w:sz w:val="32"/>
          <w:szCs w:val="32"/>
        </w:rPr>
        <w:t xml:space="preserve"> 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在管理以上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项目的赛事活动工作时履行职能包括：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（一）对赛事活动进行计划安排，制定相应的赛事活动规程；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（二）对比赛筹备进行监督；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（三）监督承办人遵守有关体育赛事活动的法规；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（四）监督承办人依据批准登记的事项和条件进行活动；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（五）指导组织工作，审定场地、设施、器材准入资格；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（六）对报名参赛运动员进行参加资格确认；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（七）选派、培训裁判人员；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（八）审定、公布、认证赛事活动成绩（积分），颁发成绩证书、证明；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（九）处理赛事活动过程中发生的赛风赛纪和兴奋剂问题。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第三十条</w:t>
      </w:r>
      <w:r>
        <w:rPr>
          <w:rFonts w:hint="eastAsia" w:ascii="仿宋" w:hAnsi="仿宋" w:eastAsia="仿宋" w:cs="仿宋"/>
          <w:sz w:val="32"/>
          <w:szCs w:val="32"/>
        </w:rPr>
        <w:t xml:space="preserve"> 承办人开展中心和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主办的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项目赛事活动组织工作时，应履行以下职责：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（一）应当按照审核批准的赛事活动规程和实施方案做好场地、器材及相应的后勤保证等赛事活动组织工作；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（二）应当采取措施，按照属地原则做好新冠疫情防控工作，维护赛事活动场所的秩序和安全；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（三）获得中心和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批准后，方可进行新闻发布、广告征集、接受赞助等工作。接受赞助或获取广告收入的，双方当事人应当订立书面合同并报主办单位备案；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（四）应当在赛事活动结束后1周内，向中心提交赛事活动情况总结、成绩册和赛事活动经费收支情况报告；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（五）应当自觉接受中心的监督检查和考评。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第三十一条</w:t>
      </w:r>
      <w:r>
        <w:rPr>
          <w:rFonts w:hint="eastAsia" w:ascii="仿宋" w:hAnsi="仿宋" w:eastAsia="仿宋" w:cs="仿宋"/>
          <w:sz w:val="32"/>
          <w:szCs w:val="32"/>
        </w:rPr>
        <w:t xml:space="preserve"> 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严格遵循公平竞争的原则，参加赛事活动的运动员、教练员和裁判员必须遵守国家对体育赛事活动的有关规定，遵守体育道德，严禁使用兴奋剂、弄虚作假、徇私舞弊；严禁利用赛事活动进行赌博活动，违反者依据有关法规进行处罚直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第三十二条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匹克球</w:t>
      </w:r>
      <w:r>
        <w:rPr>
          <w:rFonts w:hint="eastAsia" w:ascii="仿宋" w:hAnsi="仿宋" w:eastAsia="仿宋" w:cs="仿宋"/>
          <w:sz w:val="32"/>
          <w:szCs w:val="32"/>
        </w:rPr>
        <w:t>项目赛事活动承办单位有下列情形之一的，中心和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将根据情节轻重依据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中心和匹工委的相关规定</w:t>
      </w:r>
      <w:r>
        <w:rPr>
          <w:rFonts w:hint="eastAsia" w:ascii="仿宋" w:hAnsi="仿宋" w:eastAsia="仿宋" w:cs="仿宋"/>
          <w:sz w:val="32"/>
          <w:szCs w:val="32"/>
        </w:rPr>
        <w:t>进行处罚：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（一）隐瞒真实情况，有弄虚作假行为的；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（二）从事与承办报告中载明的目的和意义不一致活动的；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（三）未经中心同意擅自变更赛事活动举办主体、名称、内容、时间、地点或擅自取消赛事活动的；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（四）未按规定提交赛事活动情况总结、成绩册和赛事活动经费收支情况报告的；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（五）未经中心同意，私自转让举办权的；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（六）拒绝中心监督检查或被检查时弄虚作假的；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（七）其它造成不良影响的行为。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第三十三条</w:t>
      </w:r>
      <w:r>
        <w:rPr>
          <w:rFonts w:hint="eastAsia" w:ascii="仿宋" w:hAnsi="仿宋" w:eastAsia="仿宋" w:cs="仿宋"/>
          <w:sz w:val="32"/>
          <w:szCs w:val="32"/>
        </w:rPr>
        <w:t xml:space="preserve"> 承办单位因组织管理不善，造成参赛者和群众重大伤亡事故或从事其他违法行为的，除对其进行处罚外，当事人还将承担相应的法律责任。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第三十四条</w:t>
      </w:r>
      <w:r>
        <w:rPr>
          <w:rFonts w:hint="eastAsia" w:ascii="仿宋" w:hAnsi="仿宋" w:eastAsia="仿宋" w:cs="仿宋"/>
          <w:sz w:val="32"/>
          <w:szCs w:val="32"/>
        </w:rPr>
        <w:t xml:space="preserve"> 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工作人员执行公务时，应当依法行使职权，秉公办理。对滥用职权、徇私舞弊、玩忽职守的，由小球中心纪委给予处分；构成犯罪的，移送司法机关追究刑事责任。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第三十五条 </w:t>
      </w:r>
      <w:r>
        <w:rPr>
          <w:rFonts w:hint="eastAsia" w:ascii="仿宋" w:hAnsi="仿宋" w:eastAsia="仿宋" w:cs="仿宋"/>
          <w:sz w:val="32"/>
          <w:szCs w:val="32"/>
        </w:rPr>
        <w:t>本指南自发布之日起试行，中心和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匹工委</w:t>
      </w:r>
      <w:r>
        <w:rPr>
          <w:rFonts w:hint="eastAsia" w:ascii="仿宋" w:hAnsi="仿宋" w:eastAsia="仿宋" w:cs="仿宋"/>
          <w:sz w:val="32"/>
          <w:szCs w:val="32"/>
        </w:rPr>
        <w:t>将根据赛事举办实际情况作出适时调整并及时发布。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第三十六条 </w:t>
      </w:r>
      <w:r>
        <w:rPr>
          <w:rFonts w:hint="eastAsia" w:ascii="仿宋" w:hAnsi="仿宋" w:eastAsia="仿宋" w:cs="仿宋"/>
          <w:bCs/>
          <w:sz w:val="32"/>
          <w:szCs w:val="32"/>
        </w:rPr>
        <w:t>上述办法的解释权归体育总局小球中心、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中国匹克球运动工作委员会</w:t>
      </w:r>
      <w:r>
        <w:rPr>
          <w:rFonts w:hint="eastAsia" w:ascii="仿宋" w:hAnsi="仿宋" w:eastAsia="仿宋" w:cs="仿宋"/>
          <w:bCs/>
          <w:sz w:val="32"/>
          <w:szCs w:val="32"/>
        </w:rPr>
        <w:t>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63371"/>
    <w:multiLevelType w:val="singleLevel"/>
    <w:tmpl w:val="81B63371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AF9B1C07"/>
    <w:multiLevelType w:val="singleLevel"/>
    <w:tmpl w:val="AF9B1C07"/>
    <w:lvl w:ilvl="0" w:tentative="0">
      <w:start w:val="4"/>
      <w:numFmt w:val="chineseCounting"/>
      <w:suff w:val="nothing"/>
      <w:lvlText w:val="第%1章　"/>
      <w:lvlJc w:val="left"/>
      <w:rPr>
        <w:rFonts w:hint="eastAsia"/>
      </w:rPr>
    </w:lvl>
  </w:abstractNum>
  <w:abstractNum w:abstractNumId="2">
    <w:nsid w:val="BB23F734"/>
    <w:multiLevelType w:val="singleLevel"/>
    <w:tmpl w:val="BB23F734"/>
    <w:lvl w:ilvl="0" w:tentative="0">
      <w:start w:val="1"/>
      <w:numFmt w:val="chineseCounting"/>
      <w:suff w:val="nothing"/>
      <w:lvlText w:val="第%1章　"/>
      <w:lvlJc w:val="left"/>
      <w:rPr>
        <w:rFonts w:hint="eastAsia"/>
      </w:rPr>
    </w:lvl>
  </w:abstractNum>
  <w:abstractNum w:abstractNumId="3">
    <w:nsid w:val="F44A2924"/>
    <w:multiLevelType w:val="singleLevel"/>
    <w:tmpl w:val="F44A2924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4">
    <w:nsid w:val="302CD094"/>
    <w:multiLevelType w:val="singleLevel"/>
    <w:tmpl w:val="302CD094"/>
    <w:lvl w:ilvl="0" w:tentative="0">
      <w:start w:val="7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5">
    <w:nsid w:val="421DC7E0"/>
    <w:multiLevelType w:val="singleLevel"/>
    <w:tmpl w:val="421DC7E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4371F3DC"/>
    <w:multiLevelType w:val="singleLevel"/>
    <w:tmpl w:val="4371F3D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FAC7F"/>
    <w:rsid w:val="1C730779"/>
    <w:rsid w:val="1DFB6833"/>
    <w:rsid w:val="2FB81BDC"/>
    <w:rsid w:val="372D71AB"/>
    <w:rsid w:val="67FFFFFA"/>
    <w:rsid w:val="EFBBC265"/>
    <w:rsid w:val="F3D99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uiPriority w:val="0"/>
  </w:style>
  <w:style w:type="paragraph" w:customStyle="1" w:styleId="6">
    <w:name w:val="批注框文本1"/>
    <w:basedOn w:val="1"/>
    <w:link w:val="7"/>
    <w:uiPriority w:val="0"/>
    <w:rPr>
      <w:sz w:val="18"/>
      <w:szCs w:val="18"/>
      <w:lang w:val="en-US" w:eastAsia="en-US"/>
    </w:rPr>
  </w:style>
  <w:style w:type="character" w:customStyle="1" w:styleId="7">
    <w:name w:val="批注框文本 Char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10">
    <w:name w:val="强调1"/>
    <w:link w:val="1"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2024-05-28T09:48:00Z</dcterms:created>
  <dc:creator>pangzheng</dc:creator>
  <cp:lastModifiedBy>Sophia.北.</cp:lastModifiedBy>
  <cp:lastPrinted>2024-05-31T01:57:07Z</cp:lastPrinted>
  <dcterms:modified xsi:type="dcterms:W3CDTF">2024-05-31T02:17:27Z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BEFC3AFC4AC43D583E3A556604114A42</vt:lpwstr>
  </property>
</Properties>
</file>