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全国掷球进社区推广系列赛事活动</w:t>
      </w:r>
    </w:p>
    <w:p>
      <w:pPr>
        <w:jc w:val="center"/>
        <w:rPr>
          <w:rFonts w:hint="eastAsia"/>
          <w:sz w:val="36"/>
          <w:szCs w:val="36"/>
        </w:rPr>
      </w:pPr>
      <w:r>
        <w:rPr>
          <w:rFonts w:hint="eastAsia"/>
          <w:sz w:val="36"/>
          <w:szCs w:val="36"/>
        </w:rPr>
        <w:t>实 施 方 案</w:t>
      </w:r>
    </w:p>
    <w:p>
      <w:pPr>
        <w:jc w:val="center"/>
        <w:rPr>
          <w:rFonts w:hint="eastAsia"/>
          <w:sz w:val="36"/>
          <w:szCs w:val="36"/>
        </w:rPr>
      </w:pPr>
    </w:p>
    <w:p>
      <w:pPr>
        <w:jc w:val="both"/>
        <w:rPr>
          <w:rFonts w:hint="eastAsia"/>
          <w:sz w:val="36"/>
          <w:szCs w:val="36"/>
        </w:rPr>
      </w:pPr>
      <w:r>
        <w:rPr>
          <w:rFonts w:hint="eastAsia" w:ascii="仿宋" w:hAnsi="仿宋" w:eastAsia="仿宋"/>
          <w:sz w:val="32"/>
          <w:szCs w:val="32"/>
        </w:rPr>
        <w:t>项目名称</w:t>
      </w:r>
      <w:r>
        <w:rPr>
          <w:rFonts w:hint="eastAsia" w:ascii="仿宋" w:hAnsi="仿宋" w:eastAsia="仿宋"/>
          <w:sz w:val="32"/>
          <w:szCs w:val="32"/>
          <w:lang w:eastAsia="zh-CN"/>
        </w:rPr>
        <w:t>：</w:t>
      </w:r>
      <w:r>
        <w:rPr>
          <w:rFonts w:hint="eastAsia" w:ascii="仿宋" w:hAnsi="仿宋" w:eastAsia="仿宋"/>
          <w:sz w:val="32"/>
          <w:szCs w:val="32"/>
        </w:rPr>
        <w:t>全国掷球进社区推广系列赛事活动</w:t>
      </w:r>
    </w:p>
    <w:p>
      <w:pPr>
        <w:pStyle w:val="4"/>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主</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国家体育总局小球运动管理中心</w:t>
      </w:r>
    </w:p>
    <w:p>
      <w:pPr>
        <w:pStyle w:val="4"/>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中国掷球协会</w:t>
      </w:r>
    </w:p>
    <w:p>
      <w:pPr>
        <w:pStyle w:val="4"/>
        <w:ind w:left="0" w:leftChars="0" w:firstLine="1600" w:firstLineChars="500"/>
        <w:jc w:val="left"/>
        <w:rPr>
          <w:rFonts w:hint="eastAsia" w:ascii="仿宋" w:hAnsi="仿宋" w:eastAsia="仿宋"/>
          <w:sz w:val="32"/>
          <w:szCs w:val="32"/>
          <w:lang w:eastAsia="zh-CN"/>
        </w:rPr>
      </w:pPr>
      <w:r>
        <w:rPr>
          <w:rFonts w:hint="eastAsia" w:ascii="仿宋" w:hAnsi="仿宋" w:eastAsia="仿宋"/>
          <w:sz w:val="32"/>
          <w:szCs w:val="32"/>
          <w:lang w:eastAsia="zh-CN"/>
        </w:rPr>
        <w:t>省区市人民政府</w:t>
      </w:r>
    </w:p>
    <w:p>
      <w:pPr>
        <w:pStyle w:val="4"/>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承</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各省、自治区、直辖市体育局群体处（社体中心）</w:t>
      </w:r>
    </w:p>
    <w:p>
      <w:pPr>
        <w:pStyle w:val="4"/>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各省、自治区、直辖市掷球协会、行业体协、老</w:t>
      </w:r>
    </w:p>
    <w:p>
      <w:pPr>
        <w:pStyle w:val="4"/>
        <w:ind w:firstLine="1600" w:firstLineChars="5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体协</w:t>
      </w:r>
    </w:p>
    <w:p>
      <w:pPr>
        <w:pStyle w:val="4"/>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协</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地市级人民政府</w:t>
      </w:r>
    </w:p>
    <w:p>
      <w:pPr>
        <w:pStyle w:val="4"/>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rPr>
        <w:t>执行单位：</w:t>
      </w:r>
      <w:r>
        <w:rPr>
          <w:rFonts w:hint="eastAsia" w:ascii="仿宋" w:hAnsi="仿宋" w:eastAsia="仿宋"/>
          <w:sz w:val="32"/>
          <w:szCs w:val="32"/>
          <w:lang w:val="en-US" w:eastAsia="zh-CN"/>
        </w:rPr>
        <w:t>各省、自治区、直辖市掷球协会、老体协、掷球</w:t>
      </w:r>
    </w:p>
    <w:p>
      <w:pPr>
        <w:pStyle w:val="4"/>
        <w:ind w:left="0" w:leftChars="0" w:firstLine="1600" w:firstLineChars="500"/>
        <w:jc w:val="left"/>
        <w:rPr>
          <w:rFonts w:hint="eastAsia" w:ascii="仿宋" w:hAnsi="仿宋" w:eastAsia="仿宋"/>
          <w:sz w:val="32"/>
          <w:szCs w:val="32"/>
        </w:rPr>
      </w:pPr>
      <w:r>
        <w:rPr>
          <w:rFonts w:hint="eastAsia" w:ascii="仿宋" w:hAnsi="仿宋" w:eastAsia="仿宋"/>
          <w:sz w:val="32"/>
          <w:szCs w:val="32"/>
          <w:lang w:val="en-US" w:eastAsia="zh-CN"/>
        </w:rPr>
        <w:t>俱乐部</w:t>
      </w:r>
    </w:p>
    <w:p>
      <w:pPr>
        <w:pStyle w:val="4"/>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赞助</w:t>
      </w:r>
      <w:r>
        <w:rPr>
          <w:rFonts w:hint="eastAsia" w:ascii="仿宋" w:hAnsi="仿宋" w:eastAsia="仿宋"/>
          <w:sz w:val="32"/>
          <w:szCs w:val="32"/>
          <w:lang w:eastAsia="zh-CN"/>
        </w:rPr>
        <w:t>单位</w:t>
      </w:r>
      <w:r>
        <w:rPr>
          <w:rFonts w:hint="eastAsia" w:ascii="仿宋" w:hAnsi="仿宋" w:eastAsia="仿宋"/>
          <w:sz w:val="32"/>
          <w:szCs w:val="32"/>
        </w:rPr>
        <w:t>：</w:t>
      </w:r>
      <w:r>
        <w:rPr>
          <w:rFonts w:hint="eastAsia" w:ascii="仿宋" w:hAnsi="仿宋" w:eastAsia="仿宋"/>
          <w:sz w:val="32"/>
          <w:szCs w:val="32"/>
          <w:lang w:eastAsia="zh-CN"/>
        </w:rPr>
        <w:t>待定</w:t>
      </w:r>
    </w:p>
    <w:p>
      <w:pPr>
        <w:pStyle w:val="4"/>
        <w:numPr>
          <w:numId w:val="0"/>
        </w:numPr>
        <w:ind w:leftChars="0"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eastAsia="zh-CN"/>
        </w:rPr>
        <w:t>一、</w:t>
      </w:r>
      <w:r>
        <w:rPr>
          <w:rFonts w:hint="eastAsia" w:ascii="仿宋" w:hAnsi="仿宋" w:eastAsia="仿宋"/>
          <w:sz w:val="32"/>
          <w:szCs w:val="32"/>
        </w:rPr>
        <w:t>项目时间</w:t>
      </w:r>
      <w:r>
        <w:rPr>
          <w:rFonts w:hint="eastAsia" w:ascii="仿宋" w:hAnsi="仿宋" w:eastAsia="仿宋"/>
          <w:sz w:val="32"/>
          <w:szCs w:val="32"/>
          <w:lang w:eastAsia="zh-CN"/>
        </w:rPr>
        <w:t>：</w:t>
      </w:r>
      <w:r>
        <w:rPr>
          <w:rFonts w:hint="eastAsia" w:ascii="仿宋" w:hAnsi="仿宋" w:eastAsia="仿宋"/>
          <w:sz w:val="32"/>
          <w:szCs w:val="32"/>
          <w:lang w:val="en-US" w:eastAsia="zh-CN"/>
        </w:rPr>
        <w:t>2022年3月至12月，贯穿全年。</w:t>
      </w:r>
    </w:p>
    <w:p>
      <w:pPr>
        <w:pStyle w:val="4"/>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项目地点</w:t>
      </w:r>
      <w:r>
        <w:rPr>
          <w:rFonts w:hint="eastAsia" w:ascii="仿宋" w:hAnsi="仿宋" w:eastAsia="仿宋"/>
          <w:sz w:val="32"/>
          <w:szCs w:val="32"/>
          <w:lang w:eastAsia="zh-CN"/>
        </w:rPr>
        <w:t>：待定。包括但不限于上海、浙江、江苏、山东、河南、湖北、四川、陕西、福建、海南、广东、山西、江西、云南、新疆、内蒙等已开展或计划开展掷球运动的</w:t>
      </w:r>
      <w:r>
        <w:rPr>
          <w:rFonts w:hint="eastAsia" w:ascii="仿宋" w:hAnsi="仿宋" w:eastAsia="仿宋"/>
          <w:sz w:val="32"/>
          <w:szCs w:val="32"/>
          <w:lang w:val="en-US" w:eastAsia="zh-CN"/>
        </w:rPr>
        <w:t>省、自治区和直辖市、计划单列市。</w:t>
      </w:r>
    </w:p>
    <w:p>
      <w:pPr>
        <w:pStyle w:val="4"/>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项目介绍</w:t>
      </w:r>
      <w:r>
        <w:rPr>
          <w:rFonts w:hint="eastAsia" w:ascii="仿宋" w:hAnsi="仿宋" w:eastAsia="仿宋"/>
          <w:sz w:val="32"/>
          <w:szCs w:val="32"/>
          <w:lang w:eastAsia="zh-CN"/>
        </w:rPr>
        <w:t>：</w:t>
      </w:r>
    </w:p>
    <w:p>
      <w:pPr>
        <w:pStyle w:val="4"/>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全国掷球进社区推广系列赛事活动”（以下简称：“掷球进社区”）是国家体育总局小球运动管理中心、中国掷球协会落实总局群体司《体育总局关于报送2022年全民健身赛事活动计划的通知》（体群字【2022】40号）精神，精心设计、全新打造的一个贯穿全年的掷球推广项目。项目致力于通过进社区、下乡镇、入广场等多种形式，把掷球赛事活动带到广大人民群众身边，在满足基层群众多样文体需求的同时，借助央媒、总局官媒、网络新媒体等多种渠道，扩大项目宣传，提高掷球运动的认知度和普及度。</w:t>
      </w:r>
    </w:p>
    <w:p>
      <w:pPr>
        <w:pStyle w:val="4"/>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项目由国家体育总局小球运动管理中心、中国掷球协会在国家体育总局群体司的指导下管理和监督，各省、自治区、直辖市、新疆生产建设兵团群众体育主管部门负责承办，掷球各级各类协会、老体协和行业体协、掷球俱乐部负责具体实施。</w:t>
      </w:r>
    </w:p>
    <w:p>
      <w:pPr>
        <w:pStyle w:val="4"/>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掷球进社区系列赛事活动，形式灵活、不拘一格，以本地群众和掷球爱好者线下参与为主，全国设多站。可以采用的活动形式包括：掷球嘉年华、掷球项目广场展演、掷球亲子赛、老年掷球友谊赛、掷球青少年宣讲活动等。鼓励各地将自有的传统掷球群众赛事活动与掷球进社区系列赛事活动相结合，扩大规模、提升质量、加大宣传，把掷球真正带到百姓身边，借十四运地掷球比赛成功举办的东风，进一步提升掷球在群众中的知名度和美誉度，为十五运设项打下坚实基础。</w:t>
      </w:r>
    </w:p>
    <w:p>
      <w:pPr>
        <w:pStyle w:val="4"/>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各地各级掷球协会或俱乐部可根据本地开展掷球分支项目的情况，选择一个或多个项目（如小金属地掷球、大金属地掷球）组织赛事活动。小球中心、中国掷球协会将根据活动方案报送情况，选择纳入掷球进社区系列赛事活动组织实施。</w:t>
      </w:r>
    </w:p>
    <w:p>
      <w:pPr>
        <w:pStyle w:val="4"/>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小球中心、中国掷球协会将把</w:t>
      </w:r>
      <w:bookmarkStart w:id="0" w:name="OLE_LINK1"/>
      <w:r>
        <w:rPr>
          <w:rFonts w:hint="eastAsia" w:ascii="仿宋" w:hAnsi="仿宋" w:eastAsia="仿宋"/>
          <w:sz w:val="32"/>
          <w:szCs w:val="32"/>
          <w:lang w:val="en-US" w:eastAsia="zh-CN"/>
        </w:rPr>
        <w:t>“全国掷球进社区推广系列赛事活动”</w:t>
      </w:r>
      <w:bookmarkEnd w:id="0"/>
      <w:r>
        <w:rPr>
          <w:rFonts w:hint="eastAsia" w:ascii="仿宋" w:hAnsi="仿宋" w:eastAsia="仿宋"/>
          <w:sz w:val="32"/>
          <w:szCs w:val="32"/>
          <w:lang w:val="en-US" w:eastAsia="zh-CN"/>
        </w:rPr>
        <w:t>打造成传统项目。开年首站将举办年度项目启动仪式，最后一站将举办项目收官仪式。年终将对各承办单位项目执行情况进行总结评估，并为承办、协办、赞助单位颁发项目推广荣誉证书。我们希望各地在做好新冠疫情常态化防控的前提下，结合本地掷球推广的现状和未来规划，积极申请加入掷球进社区系列赛事活动，为掷球运动普及推广做出积极贡献。</w:t>
      </w:r>
    </w:p>
    <w:p>
      <w:pPr>
        <w:pStyle w:val="4"/>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项目</w:t>
      </w:r>
      <w:r>
        <w:rPr>
          <w:rFonts w:hint="eastAsia" w:ascii="仿宋" w:hAnsi="仿宋" w:eastAsia="仿宋"/>
          <w:sz w:val="32"/>
          <w:szCs w:val="32"/>
          <w:lang w:eastAsia="zh-CN"/>
        </w:rPr>
        <w:t>实施</w:t>
      </w:r>
      <w:r>
        <w:rPr>
          <w:rFonts w:hint="eastAsia" w:ascii="仿宋" w:hAnsi="仿宋" w:eastAsia="仿宋"/>
          <w:sz w:val="32"/>
          <w:szCs w:val="32"/>
        </w:rPr>
        <w:t>标准</w:t>
      </w:r>
    </w:p>
    <w:p>
      <w:pPr>
        <w:pStyle w:val="4"/>
        <w:numPr>
          <w:ilvl w:val="0"/>
          <w:numId w:val="1"/>
        </w:numPr>
        <w:ind w:left="720" w:firstLine="0" w:firstLineChars="0"/>
        <w:jc w:val="left"/>
        <w:rPr>
          <w:rFonts w:hint="eastAsia" w:ascii="仿宋" w:hAnsi="仿宋" w:eastAsia="仿宋"/>
          <w:sz w:val="32"/>
          <w:szCs w:val="32"/>
          <w:lang w:eastAsia="zh-CN"/>
        </w:rPr>
      </w:pPr>
      <w:r>
        <w:rPr>
          <w:rFonts w:hint="eastAsia" w:ascii="仿宋" w:hAnsi="仿宋" w:eastAsia="仿宋"/>
          <w:sz w:val="32"/>
          <w:szCs w:val="32"/>
        </w:rPr>
        <w:t>场地</w:t>
      </w:r>
    </w:p>
    <w:p>
      <w:pPr>
        <w:pStyle w:val="4"/>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拥有能够开展掷球赛事活动的标准比赛场地或能够协调落实举办活动的广场、赛场。按照掷球分项要求具体为：</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小金属地掷球：</w:t>
      </w:r>
      <w:r>
        <w:rPr>
          <w:rFonts w:hint="eastAsia" w:ascii="仿宋" w:hAnsi="仿宋" w:eastAsia="仿宋"/>
          <w:sz w:val="32"/>
          <w:szCs w:val="32"/>
          <w:lang w:val="en-US" w:eastAsia="zh-CN"/>
        </w:rPr>
        <w:t>3片及以上标准场地；</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2.大金属地掷球：3条及以上赛道；</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3.塑掷地掷球：  3条及以上赛道；</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4.草地掷球：    4条及以上你赛道</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5.指弹球：      5台及以上球桌；</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6.沙狐球：      5台及以上球桌；</w:t>
      </w:r>
    </w:p>
    <w:p>
      <w:pPr>
        <w:pStyle w:val="4"/>
        <w:numPr>
          <w:ilvl w:val="0"/>
          <w:numId w:val="0"/>
        </w:numPr>
        <w:ind w:left="72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或：</w:t>
      </w:r>
    </w:p>
    <w:p>
      <w:pPr>
        <w:pStyle w:val="4"/>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有能力协调落实属地市民广场、青少年宫、体育场馆一个及以上进行项目推广和宣讲。</w:t>
      </w:r>
    </w:p>
    <w:p>
      <w:pPr>
        <w:pStyle w:val="4"/>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人员：</w:t>
      </w:r>
    </w:p>
    <w:p>
      <w:pPr>
        <w:pStyle w:val="4"/>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有专职人员5名及以上协助落实项目组织和实施。包括但不限于接待、防疫和安全、现场活动组织、交通保障、新闻宣传。</w:t>
      </w:r>
    </w:p>
    <w:p>
      <w:pPr>
        <w:pStyle w:val="4"/>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接待</w:t>
      </w:r>
    </w:p>
    <w:p>
      <w:pPr>
        <w:pStyle w:val="4"/>
        <w:numPr>
          <w:ilvl w:val="0"/>
          <w:numId w:val="2"/>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住宿：</w:t>
      </w:r>
      <w:r>
        <w:rPr>
          <w:rFonts w:hint="eastAsia" w:ascii="仿宋" w:hAnsi="仿宋" w:eastAsia="仿宋"/>
          <w:sz w:val="32"/>
          <w:szCs w:val="32"/>
          <w:lang w:eastAsia="zh-CN"/>
        </w:rPr>
        <w:t>具备安排</w:t>
      </w:r>
      <w:r>
        <w:rPr>
          <w:rFonts w:hint="eastAsia" w:ascii="仿宋" w:hAnsi="仿宋" w:eastAsia="仿宋"/>
          <w:sz w:val="32"/>
          <w:szCs w:val="32"/>
          <w:lang w:val="en-US" w:eastAsia="zh-CN"/>
        </w:rPr>
        <w:t>50人及以上</w:t>
      </w:r>
      <w:r>
        <w:rPr>
          <w:rFonts w:hint="eastAsia" w:ascii="仿宋" w:hAnsi="仿宋" w:eastAsia="仿宋"/>
          <w:sz w:val="32"/>
          <w:szCs w:val="32"/>
          <w:lang w:eastAsia="zh-CN"/>
        </w:rPr>
        <w:t>住宿条件。</w:t>
      </w:r>
    </w:p>
    <w:p>
      <w:pPr>
        <w:pStyle w:val="4"/>
        <w:numPr>
          <w:ilvl w:val="0"/>
          <w:numId w:val="2"/>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eastAsia="zh-CN"/>
        </w:rPr>
        <w:t>餐饮：具备一次安排</w:t>
      </w:r>
      <w:r>
        <w:rPr>
          <w:rFonts w:hint="eastAsia" w:ascii="仿宋" w:hAnsi="仿宋" w:eastAsia="仿宋"/>
          <w:sz w:val="32"/>
          <w:szCs w:val="32"/>
          <w:lang w:val="en-US" w:eastAsia="zh-CN"/>
        </w:rPr>
        <w:t>150人及以上干净卫生餐饮或方便快餐条件；</w:t>
      </w:r>
    </w:p>
    <w:p>
      <w:pPr>
        <w:pStyle w:val="4"/>
        <w:numPr>
          <w:ilvl w:val="0"/>
          <w:numId w:val="2"/>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具备协调150人及以上交通保障条件。</w:t>
      </w:r>
    </w:p>
    <w:p>
      <w:pPr>
        <w:pStyle w:val="4"/>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资金</w:t>
      </w:r>
    </w:p>
    <w:p>
      <w:pPr>
        <w:pStyle w:val="4"/>
        <w:numPr>
          <w:ilvl w:val="0"/>
          <w:numId w:val="3"/>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拥有</w:t>
      </w:r>
      <w:r>
        <w:rPr>
          <w:rFonts w:hint="eastAsia" w:ascii="仿宋" w:hAnsi="仿宋" w:eastAsia="仿宋"/>
          <w:sz w:val="32"/>
          <w:szCs w:val="32"/>
          <w:lang w:val="en-US" w:eastAsia="zh-CN"/>
        </w:rPr>
        <w:t>3万元及以上保障资金，保证活动按时顺利举办。</w:t>
      </w:r>
    </w:p>
    <w:p>
      <w:pPr>
        <w:pStyle w:val="4"/>
        <w:numPr>
          <w:ilvl w:val="0"/>
          <w:numId w:val="3"/>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国家体育总局群体司、体育总局小球中心、中国掷球协会将根据年度预算安排，给予承办方一定的活动引导资金补贴。具体补贴数额由双方签订合作协议进行约定。</w:t>
      </w:r>
    </w:p>
    <w:p>
      <w:pPr>
        <w:pStyle w:val="4"/>
        <w:numPr>
          <w:ilvl w:val="0"/>
          <w:numId w:val="3"/>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鼓励承办方在不与“掷球进社区”冠名赞助方冲突的情况下，通过市场开发二级、三级赞助单位，积极争取属地体育部门赛事活动引导资金。</w:t>
      </w:r>
    </w:p>
    <w:p>
      <w:pPr>
        <w:pStyle w:val="4"/>
        <w:numPr>
          <w:ilvl w:val="0"/>
          <w:numId w:val="3"/>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能够自行负担赛事活动费用的，具有掷球进社区系列赛事活动优先承办权。</w:t>
      </w:r>
    </w:p>
    <w:p>
      <w:pPr>
        <w:pStyle w:val="4"/>
        <w:numPr>
          <w:ilvl w:val="0"/>
          <w:numId w:val="1"/>
        </w:numPr>
        <w:ind w:left="72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宣传</w:t>
      </w:r>
    </w:p>
    <w:p>
      <w:pPr>
        <w:pStyle w:val="4"/>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能够协调属地电视、报刊等传统媒体到场采访报道；</w:t>
      </w:r>
    </w:p>
    <w:p>
      <w:pPr>
        <w:pStyle w:val="4"/>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能够创新使用快手、抖音、腾讯等网络新媒体对活动进行宣传报道；</w:t>
      </w:r>
    </w:p>
    <w:p>
      <w:pPr>
        <w:pStyle w:val="4"/>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能接待小球中心、中国掷球协会官方媒体到现场进行宣传报道，并负担</w:t>
      </w:r>
      <w:r>
        <w:rPr>
          <w:rFonts w:hint="eastAsia" w:ascii="仿宋" w:hAnsi="仿宋" w:eastAsia="仿宋"/>
          <w:sz w:val="32"/>
          <w:szCs w:val="32"/>
          <w:lang w:val="en-US" w:eastAsia="zh-CN"/>
        </w:rPr>
        <w:t>2名活动专职报道人员的食宿交通费用</w:t>
      </w:r>
      <w:r>
        <w:rPr>
          <w:rFonts w:hint="eastAsia" w:ascii="仿宋" w:hAnsi="仿宋" w:eastAsia="仿宋"/>
          <w:sz w:val="32"/>
          <w:szCs w:val="32"/>
          <w:lang w:eastAsia="zh-CN"/>
        </w:rPr>
        <w:t>；</w:t>
      </w:r>
    </w:p>
    <w:p>
      <w:pPr>
        <w:pStyle w:val="4"/>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能够联系并接待央视报道赛事活动的具有优先承办权；</w:t>
      </w:r>
    </w:p>
    <w:p>
      <w:pPr>
        <w:pStyle w:val="4"/>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能够在活动开始前</w:t>
      </w:r>
      <w:r>
        <w:rPr>
          <w:rFonts w:hint="eastAsia" w:ascii="仿宋" w:hAnsi="仿宋" w:eastAsia="仿宋"/>
          <w:sz w:val="32"/>
          <w:szCs w:val="32"/>
          <w:lang w:val="en-US" w:eastAsia="zh-CN"/>
        </w:rPr>
        <w:t>3天，提供高质量新闻通稿一篇；活动</w:t>
      </w:r>
      <w:r>
        <w:rPr>
          <w:rFonts w:hint="eastAsia" w:ascii="仿宋" w:hAnsi="仿宋" w:eastAsia="仿宋"/>
          <w:sz w:val="32"/>
          <w:szCs w:val="32"/>
          <w:lang w:eastAsia="zh-CN"/>
        </w:rPr>
        <w:t>结束后</w:t>
      </w:r>
      <w:r>
        <w:rPr>
          <w:rFonts w:hint="eastAsia" w:ascii="仿宋" w:hAnsi="仿宋" w:eastAsia="仿宋"/>
          <w:sz w:val="32"/>
          <w:szCs w:val="32"/>
          <w:lang w:val="en-US" w:eastAsia="zh-CN"/>
        </w:rPr>
        <w:t>3天内提交高质量活动总结（图文并茂）一篇。</w:t>
      </w:r>
    </w:p>
    <w:p>
      <w:pPr>
        <w:pStyle w:val="4"/>
        <w:numPr>
          <w:numId w:val="0"/>
        </w:numPr>
        <w:ind w:leftChars="0"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防疫</w:t>
      </w:r>
    </w:p>
    <w:p>
      <w:pPr>
        <w:pStyle w:val="4"/>
        <w:numPr>
          <w:ilvl w:val="0"/>
          <w:numId w:val="0"/>
        </w:numPr>
        <w:ind w:leftChars="0"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承办单位需制定严格的新冠疫情防控方案，与赛事活动方案一并交国家体育总局小球运动管理中心审核。疫情防控除严格遵守国家卫健委、中央新冠疫情联防联控机制各项规定以及国家体育总局关于组织线下赛事</w:t>
      </w:r>
      <w:bookmarkStart w:id="1" w:name="_GoBack"/>
      <w:bookmarkEnd w:id="1"/>
      <w:r>
        <w:rPr>
          <w:rFonts w:hint="eastAsia" w:ascii="仿宋" w:hAnsi="仿宋" w:eastAsia="仿宋"/>
          <w:sz w:val="32"/>
          <w:szCs w:val="32"/>
          <w:lang w:eastAsia="zh-CN"/>
        </w:rPr>
        <w:t>活动的规定和要求外，要本着属地管理的原则，严格按照属地疫情防控管理规定，不折不扣落实疫情防控措施。</w:t>
      </w:r>
    </w:p>
    <w:p>
      <w:pPr>
        <w:pStyle w:val="4"/>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安全</w:t>
      </w:r>
    </w:p>
    <w:p>
      <w:pPr>
        <w:pStyle w:val="4"/>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承办单位要制定赛事活动安全预案和突发事件处置应急预案，与赛事活动方案一并交国家体育总局小球运动管理中心审核。要协调好属地安全保卫及应急管理部门做好赛事活动应急管理和突发事件处置。</w:t>
      </w:r>
    </w:p>
    <w:p>
      <w:pPr>
        <w:pStyle w:val="4"/>
        <w:numPr>
          <w:ilvl w:val="0"/>
          <w:numId w:val="5"/>
        </w:numPr>
        <w:ind w:left="720" w:leftChars="0" w:hanging="72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总结和表彰</w:t>
      </w:r>
    </w:p>
    <w:p>
      <w:pPr>
        <w:pStyle w:val="4"/>
        <w:widowControl w:val="0"/>
        <w:numPr>
          <w:ilvl w:val="0"/>
          <w:numId w:val="0"/>
        </w:numPr>
        <w:ind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各承办单位应在活动结束3个工作日内提交活动总结。每年年终由体育总局小球中心、中国掷球协会对全年推广活动进行评估和评审，并颁发感谢函及获奖证书。</w:t>
      </w:r>
    </w:p>
    <w:p>
      <w:pPr>
        <w:pStyle w:val="4"/>
        <w:widowControl w:val="0"/>
        <w:numPr>
          <w:ilvl w:val="0"/>
          <w:numId w:val="0"/>
        </w:numPr>
        <w:ind w:firstLine="640"/>
        <w:jc w:val="left"/>
        <w:rPr>
          <w:rFonts w:hint="eastAsia" w:ascii="仿宋" w:hAnsi="仿宋" w:eastAsia="仿宋"/>
          <w:sz w:val="32"/>
          <w:szCs w:val="32"/>
          <w:lang w:val="en-US" w:eastAsia="zh-CN"/>
        </w:rPr>
      </w:pPr>
    </w:p>
    <w:p>
      <w:pPr>
        <w:pStyle w:val="4"/>
        <w:numPr>
          <w:ilvl w:val="0"/>
          <w:numId w:val="0"/>
        </w:numPr>
        <w:ind w:leftChars="0"/>
        <w:jc w:val="left"/>
        <w:rPr>
          <w:rFonts w:ascii="仿宋" w:hAnsi="仿宋" w:eastAsia="仿宋"/>
          <w:sz w:val="32"/>
          <w:szCs w:val="32"/>
        </w:rPr>
      </w:pPr>
      <w:r>
        <w:rPr>
          <w:rFonts w:hint="eastAsia" w:ascii="仿宋" w:hAnsi="仿宋" w:eastAsia="仿宋"/>
          <w:sz w:val="32"/>
          <w:szCs w:val="32"/>
          <w:lang w:eastAsia="zh-CN"/>
        </w:rPr>
        <w:t>附件：活动筹备</w:t>
      </w:r>
      <w:r>
        <w:rPr>
          <w:rFonts w:hint="eastAsia" w:ascii="仿宋" w:hAnsi="仿宋" w:eastAsia="仿宋"/>
          <w:sz w:val="32"/>
          <w:szCs w:val="32"/>
        </w:rPr>
        <w:t>物料清单</w:t>
      </w:r>
    </w:p>
    <w:p>
      <w:pPr>
        <w:pStyle w:val="4"/>
        <w:numPr>
          <w:ilvl w:val="0"/>
          <w:numId w:val="0"/>
        </w:numPr>
        <w:ind w:leftChars="0"/>
        <w:jc w:val="left"/>
        <w:rPr>
          <w:rFonts w:hint="eastAsia" w:ascii="仿宋" w:hAnsi="仿宋" w:eastAsia="仿宋"/>
          <w:sz w:val="32"/>
          <w:szCs w:val="32"/>
          <w:lang w:eastAsia="zh-CN"/>
        </w:rPr>
      </w:pPr>
    </w:p>
    <w:p>
      <w:pPr>
        <w:pStyle w:val="4"/>
        <w:numPr>
          <w:ilvl w:val="0"/>
          <w:numId w:val="0"/>
        </w:numPr>
        <w:ind w:leftChars="0"/>
        <w:jc w:val="left"/>
        <w:rPr>
          <w:rFonts w:hint="eastAsia" w:ascii="仿宋" w:hAnsi="仿宋" w:eastAsia="仿宋"/>
          <w:sz w:val="32"/>
          <w:szCs w:val="32"/>
          <w:lang w:eastAsia="zh-CN"/>
        </w:rPr>
      </w:pPr>
    </w:p>
    <w:p>
      <w:pPr>
        <w:pStyle w:val="4"/>
        <w:numPr>
          <w:ilvl w:val="0"/>
          <w:numId w:val="0"/>
        </w:numPr>
        <w:ind w:leftChars="0"/>
        <w:jc w:val="right"/>
        <w:rPr>
          <w:rFonts w:hint="eastAsia" w:ascii="仿宋" w:hAnsi="仿宋" w:eastAsia="仿宋"/>
          <w:sz w:val="32"/>
          <w:szCs w:val="32"/>
          <w:lang w:eastAsia="zh-CN"/>
        </w:rPr>
      </w:pPr>
      <w:r>
        <w:rPr>
          <w:rFonts w:hint="eastAsia" w:ascii="仿宋" w:hAnsi="仿宋" w:eastAsia="仿宋"/>
          <w:sz w:val="32"/>
          <w:szCs w:val="32"/>
          <w:lang w:eastAsia="zh-CN"/>
        </w:rPr>
        <w:t>体育总局小球中心</w:t>
      </w:r>
    </w:p>
    <w:p>
      <w:pPr>
        <w:pStyle w:val="4"/>
        <w:numPr>
          <w:ilvl w:val="0"/>
          <w:numId w:val="0"/>
        </w:numPr>
        <w:ind w:leftChars="0"/>
        <w:jc w:val="right"/>
        <w:rPr>
          <w:rFonts w:hint="eastAsia" w:ascii="仿宋" w:hAnsi="仿宋" w:eastAsia="仿宋"/>
          <w:sz w:val="32"/>
          <w:szCs w:val="32"/>
          <w:lang w:eastAsia="zh-CN"/>
        </w:rPr>
      </w:pPr>
      <w:r>
        <w:rPr>
          <w:rFonts w:hint="eastAsia" w:ascii="仿宋" w:hAnsi="仿宋" w:eastAsia="仿宋"/>
          <w:sz w:val="32"/>
          <w:szCs w:val="32"/>
          <w:lang w:eastAsia="zh-CN"/>
        </w:rPr>
        <w:t>中国掷球协会</w:t>
      </w:r>
    </w:p>
    <w:p>
      <w:pPr>
        <w:pStyle w:val="4"/>
        <w:numPr>
          <w:ilvl w:val="0"/>
          <w:numId w:val="0"/>
        </w:numPr>
        <w:ind w:leftChars="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2022年3月14日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837C"/>
    <w:multiLevelType w:val="singleLevel"/>
    <w:tmpl w:val="865F837C"/>
    <w:lvl w:ilvl="0" w:tentative="0">
      <w:start w:val="1"/>
      <w:numFmt w:val="chineseCounting"/>
      <w:suff w:val="nothing"/>
      <w:lvlText w:val="（%1）"/>
      <w:lvlJc w:val="left"/>
      <w:rPr>
        <w:rFonts w:hint="eastAsia"/>
      </w:rPr>
    </w:lvl>
  </w:abstractNum>
  <w:abstractNum w:abstractNumId="1">
    <w:nsid w:val="AF04BB2F"/>
    <w:multiLevelType w:val="singleLevel"/>
    <w:tmpl w:val="AF04BB2F"/>
    <w:lvl w:ilvl="0" w:tentative="0">
      <w:start w:val="1"/>
      <w:numFmt w:val="decimal"/>
      <w:lvlText w:val="%1."/>
      <w:lvlJc w:val="left"/>
      <w:pPr>
        <w:tabs>
          <w:tab w:val="left" w:pos="312"/>
        </w:tabs>
      </w:pPr>
    </w:lvl>
  </w:abstractNum>
  <w:abstractNum w:abstractNumId="2">
    <w:nsid w:val="E895230C"/>
    <w:multiLevelType w:val="singleLevel"/>
    <w:tmpl w:val="E895230C"/>
    <w:lvl w:ilvl="0" w:tentative="0">
      <w:start w:val="1"/>
      <w:numFmt w:val="decimal"/>
      <w:lvlText w:val="%1."/>
      <w:lvlJc w:val="left"/>
      <w:pPr>
        <w:tabs>
          <w:tab w:val="left" w:pos="312"/>
        </w:tabs>
      </w:pPr>
    </w:lvl>
  </w:abstractNum>
  <w:abstractNum w:abstractNumId="3">
    <w:nsid w:val="1CFFBFD8"/>
    <w:multiLevelType w:val="singleLevel"/>
    <w:tmpl w:val="1CFFBFD8"/>
    <w:lvl w:ilvl="0" w:tentative="0">
      <w:start w:val="1"/>
      <w:numFmt w:val="decimal"/>
      <w:lvlText w:val="%1."/>
      <w:lvlJc w:val="left"/>
      <w:pPr>
        <w:tabs>
          <w:tab w:val="left" w:pos="312"/>
        </w:tabs>
      </w:pPr>
    </w:lvl>
  </w:abstractNum>
  <w:abstractNum w:abstractNumId="4">
    <w:nsid w:val="57150575"/>
    <w:multiLevelType w:val="multilevel"/>
    <w:tmpl w:val="571505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367E"/>
    <w:rsid w:val="000C2805"/>
    <w:rsid w:val="0028367E"/>
    <w:rsid w:val="00CB671D"/>
    <w:rsid w:val="00EE0B85"/>
    <w:rsid w:val="013E107B"/>
    <w:rsid w:val="324E13B2"/>
    <w:rsid w:val="338A40CF"/>
    <w:rsid w:val="53097000"/>
    <w:rsid w:val="6D2E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TotalTime>44</TotalTime>
  <ScaleCrop>false</ScaleCrop>
  <LinksUpToDate>false</LinksUpToDate>
  <CharactersWithSpaces>106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2022-03-06T07:07:00Z</dcterms:created>
  <dc:creator>songhx04</dc:creator>
  <cp:lastModifiedBy>wilson</cp:lastModifiedBy>
  <cp:lastPrinted>2022-03-15T01:50:10Z</cp:lastPrinted>
  <dcterms:modified xsi:type="dcterms:W3CDTF">2022-03-15T02:16:40Z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A7C347B42F9042348C475CDF699CA46C</vt:lpwstr>
  </property>
</Properties>
</file>