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eastAsia="宋体"/>
          <w:sz w:val="32"/>
          <w:szCs w:val="32"/>
          <w:lang w:eastAsia="zh-CN"/>
        </w:rPr>
      </w:pPr>
      <w:bookmarkStart w:id="0" w:name="_Toc681291"/>
      <w:bookmarkStart w:id="1" w:name="_Toc681289"/>
      <w:r>
        <w:rPr>
          <w:rFonts w:hint="eastAsia"/>
          <w:sz w:val="36"/>
          <w:szCs w:val="36"/>
          <w:lang w:eastAsia="zh-CN"/>
        </w:rPr>
        <w:t>板球项目场地标准（征求意见稿）</w:t>
      </w:r>
    </w:p>
    <w:p>
      <w:pPr>
        <w:pStyle w:val="2"/>
        <w:spacing w:before="0" w:after="0" w:line="360" w:lineRule="auto"/>
        <w:rPr>
          <w:rFonts w:hint="eastAsia"/>
          <w:sz w:val="32"/>
          <w:szCs w:val="32"/>
        </w:rPr>
      </w:pPr>
    </w:p>
    <w:bookmarkEnd w:id="0"/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球道的面积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球道为一个长方形区域，长20.12 米，宽3.05 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两端以投球线为界，两个长边分别为虚线，相互平行，离连接两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的假想中轴线距离分别为1.52米。如果该球道旁边有一条中间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距离小于1.52米的非天然球道，则该球道至那一侧将仅延伸至两个表面的接合处。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非天然草球道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在使用非天然草场地时，应符合下列标准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长度：最小17.68米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宽度：最小1.83米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球道线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在球道的两端，投球线、击球线及返回线均应涂成白色的宽线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投球线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投球线是球道标志线的两端边缘，以白线的后沿为准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长度应为2.64米。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击球线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击球线在投球线前面 1.22 米，与投球线平行，线以白线后沿为准，从两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中轴线向两边划线，长度为1.83 米，被视为无限长度。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返回线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返回线与击球线成直角，内沿为准，并与假想两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中轴线的距离各为1.32 米。每一条返回线须由击球线开始向后画上至少2.44 米，返回线被视为无限长度。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七、球道示意图</w:t>
      </w:r>
    </w:p>
    <w:p>
      <w:pPr>
        <w:numPr>
          <w:ilvl w:val="0"/>
          <w:numId w:val="0"/>
        </w:numPr>
        <w:spacing w:line="360" w:lineRule="auto"/>
      </w:pPr>
      <w:r>
        <w:rPr>
          <w:rFonts w:hint="default" w:ascii="宋体" w:hAnsi="宋体" w:cs="宋体"/>
          <w:sz w:val="24"/>
          <w:lang w:val="en-US" w:eastAsia="zh-CN"/>
        </w:rPr>
        <w:drawing>
          <wp:inline distT="0" distB="0" distL="114300" distR="114300">
            <wp:extent cx="5144770" cy="6792595"/>
            <wp:effectExtent l="0" t="0" r="17780" b="8255"/>
            <wp:docPr id="5" name="图片 5" descr="c259c57ad27cf60523f65dbfb2c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59c57ad27cf60523f65dbfb2c9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jc w:val="center"/>
        <w:rPr>
          <w:rFonts w:hint="default" w:eastAsia="宋体"/>
          <w:sz w:val="36"/>
          <w:szCs w:val="36"/>
          <w:lang w:val="en-US" w:eastAsia="zh-CN"/>
        </w:rPr>
      </w:pPr>
      <w:bookmarkStart w:id="8" w:name="_GoBack"/>
      <w:bookmarkEnd w:id="8"/>
      <w:r>
        <w:rPr>
          <w:rFonts w:hint="eastAsia"/>
          <w:sz w:val="36"/>
          <w:szCs w:val="36"/>
          <w:lang w:eastAsia="zh-CN"/>
        </w:rPr>
        <w:t>板球项目器材标准（征求意见稿）</w:t>
      </w:r>
    </w:p>
    <w:p>
      <w:pPr>
        <w:pStyle w:val="2"/>
        <w:spacing w:before="0" w:after="0" w:line="360" w:lineRule="auto"/>
        <w:rPr>
          <w:rFonts w:hint="eastAsia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before="0" w:after="0"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一、比赛用球</w:t>
      </w:r>
      <w:bookmarkEnd w:id="1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（一）男子比赛用球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重量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：从</w:t>
      </w:r>
      <w:r>
        <w:rPr>
          <w:rFonts w:hint="eastAsia" w:ascii="仿宋" w:hAnsi="仿宋" w:eastAsia="仿宋" w:cs="仿宋"/>
          <w:sz w:val="32"/>
          <w:szCs w:val="32"/>
        </w:rPr>
        <w:t xml:space="preserve"> 155.9克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 xml:space="preserve"> 163克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：从</w:t>
      </w:r>
      <w:r>
        <w:rPr>
          <w:rFonts w:hint="eastAsia" w:ascii="仿宋" w:hAnsi="仿宋" w:eastAsia="仿宋" w:cs="仿宋"/>
          <w:sz w:val="32"/>
          <w:szCs w:val="32"/>
        </w:rPr>
        <w:t>22.4厘米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22.9厘米。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女子比赛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重量：从 140克到151克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周长：从21厘米到22.5厘米。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少年比赛-13岁以下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重量：从133克到144克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周长：从 20.5厘米到22.0厘米。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（四）其他比赛用球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为了更好地在我国开展板球运动，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体育总局小球运动管理中心</w:t>
      </w:r>
      <w:r>
        <w:rPr>
          <w:rFonts w:hint="eastAsia" w:ascii="仿宋" w:hAnsi="仿宋" w:eastAsia="仿宋" w:cs="仿宋"/>
          <w:sz w:val="32"/>
          <w:szCs w:val="32"/>
        </w:rPr>
        <w:t>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确定其他可以在中国境内使用的板球比赛用球规格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before="0" w:after="0"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_Toc681290"/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球板</w:t>
      </w:r>
      <w:bookmarkEnd w:id="2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（一）球</w:t>
      </w:r>
      <w:r>
        <w:rPr>
          <w:rFonts w:hint="eastAsia" w:ascii="仿宋" w:hAnsi="仿宋" w:eastAsia="仿宋" w:cs="仿宋"/>
          <w:sz w:val="32"/>
          <w:szCs w:val="32"/>
        </w:rPr>
        <w:t>板由两部分组成：板柄和板体。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板柄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1、板柄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由竹或木制成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在板面之外的部分定义为板柄的上半部分，这一部分是用来握的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板柄的上半部分可以用手胶包裹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板柄的一端插入板体之中把板柄和板体联接一体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板柄可以使用必要的胶水与板体联接在一起。</w:t>
      </w:r>
    </w:p>
    <w:p>
      <w:pPr>
        <w:spacing w:line="360" w:lineRule="auto"/>
        <w:ind w:firstLine="640" w:firstLineChars="200"/>
        <w:rPr>
          <w:rStyle w:val="8"/>
          <w:rFonts w:hint="eastAsia" w:ascii="仿宋" w:hAnsi="仿宋" w:eastAsia="仿宋" w:cs="仿宋"/>
          <w:b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4、</w:t>
      </w:r>
      <w:r>
        <w:rPr>
          <w:rStyle w:val="8"/>
          <w:rFonts w:hint="eastAsia" w:ascii="仿宋" w:hAnsi="仿宋" w:eastAsia="仿宋" w:cs="仿宋"/>
          <w:sz w:val="32"/>
          <w:szCs w:val="32"/>
        </w:rPr>
        <w:t>板柄的缠绕和覆盖</w:t>
      </w:r>
      <w:r>
        <w:rPr>
          <w:rStyle w:val="7"/>
          <w:rFonts w:hint="eastAsia" w:ascii="仿宋" w:hAnsi="仿宋" w:eastAsia="仿宋" w:cs="仿宋"/>
          <w:sz w:val="32"/>
          <w:szCs w:val="32"/>
        </w:rPr>
        <w:t>–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板柄的上部和下部联接处允许的沿着板柄长度的连接物限制最大为：</w:t>
      </w:r>
    </w:p>
    <w:p>
      <w:pPr>
        <w:spacing w:line="360" w:lineRule="auto"/>
        <w:ind w:left="420" w:leftChars="200"/>
        <w:rPr>
          <w:rStyle w:val="7"/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缠绕物长度6.35厘米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  <w:lang w:eastAsia="zh-CN"/>
        </w:rPr>
        <w:t>；</w:t>
      </w:r>
    </w:p>
    <w:p>
      <w:pPr>
        <w:spacing w:line="360" w:lineRule="auto"/>
        <w:ind w:left="420" w:leftChars="200"/>
        <w:rPr>
          <w:rStyle w:val="7"/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板柄手胶长度6.99厘米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板体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板柄以外的部分全部称为板体。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板体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完全由木材制成。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板体有板面、板背、板头、侧面和板肩。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4、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板面是主要的击球面，表面平坦略带一些由于传统的工艺技术形成的弧形突出。板背是与板面相反的背部表面。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5、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板肩在板柄的下端两侧，与板面两侧相对应，从板柄刚进入板体开始到板面最大宽度开始的部位。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6、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板头是在板面最底端与板肩相对的部位。</w:t>
      </w:r>
    </w:p>
    <w:p>
      <w:pPr>
        <w:spacing w:line="360" w:lineRule="auto"/>
        <w:ind w:firstLine="640" w:firstLineChars="200"/>
        <w:rPr>
          <w:rStyle w:val="7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7、</w:t>
      </w: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侧面在板面的两侧，在板肩和板头之间沿着板面的方向。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（四）球</w:t>
      </w:r>
      <w:r>
        <w:rPr>
          <w:rFonts w:hint="eastAsia" w:ascii="仿宋" w:hAnsi="仿宋" w:eastAsia="仿宋" w:cs="仿宋"/>
          <w:sz w:val="32"/>
          <w:szCs w:val="32"/>
        </w:rPr>
        <w:t>板的尺寸限制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球板总长度不能大于 96.52 厘米。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板的板面不得超过以下尺寸：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宽度：10.8厘米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厚度：6.7厘米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边缘：4厘米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（五）球板尺寸图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69205" cy="6845300"/>
            <wp:effectExtent l="0" t="0" r="5715" b="12700"/>
            <wp:docPr id="1" name="图片 1" descr="a70d11500bb55c449c8af3698741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0d11500bb55c449c8af36987416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其他球板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为了更好地在我国开展板球运动，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体育总局小球运动管理中心</w:t>
      </w:r>
      <w:r>
        <w:rPr>
          <w:rFonts w:hint="eastAsia" w:ascii="仿宋" w:hAnsi="仿宋" w:eastAsia="仿宋" w:cs="仿宋"/>
          <w:sz w:val="32"/>
          <w:szCs w:val="32"/>
        </w:rPr>
        <w:t>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确定其他可以在中国境内使用的板球球板规格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before="0" w:after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两组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须平行置于球道两边，分别置于投球线的中央，每组须为22.86厘米宽，并由三支木桩及两小横木置于顶上。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柱的尺寸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木桩</w:t>
      </w:r>
      <w:r>
        <w:rPr>
          <w:rFonts w:hint="eastAsia" w:ascii="仿宋" w:hAnsi="仿宋" w:eastAsia="仿宋" w:cs="仿宋"/>
          <w:sz w:val="32"/>
          <w:szCs w:val="32"/>
        </w:rPr>
        <w:t>的高度须离地面71.12 厘米，为一个圆柱体，顶部为圆球形，上面有一条安放小横木的凹槽，每根柱直径不能小于3.50厘米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不大于3.81厘米。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横木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当横木放置于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柱顶部时：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不能超越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木桩</w:t>
      </w:r>
      <w:r>
        <w:rPr>
          <w:rFonts w:hint="eastAsia" w:ascii="仿宋" w:hAnsi="仿宋" w:eastAsia="仿宋" w:cs="仿宋"/>
          <w:sz w:val="32"/>
          <w:szCs w:val="32"/>
        </w:rPr>
        <w:t>顶1.27 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当横木放置在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</w:t>
      </w:r>
      <w:r>
        <w:rPr>
          <w:rFonts w:hint="eastAsia" w:ascii="仿宋" w:hAnsi="仿宋" w:eastAsia="仿宋" w:cs="仿宋"/>
          <w:sz w:val="32"/>
          <w:szCs w:val="32"/>
        </w:rPr>
        <w:t>顶部时，不会干扰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三柱门的</w:t>
      </w:r>
      <w:r>
        <w:rPr>
          <w:rFonts w:hint="eastAsia" w:ascii="仿宋" w:hAnsi="仿宋" w:eastAsia="仿宋" w:cs="仿宋"/>
          <w:sz w:val="32"/>
          <w:szCs w:val="32"/>
        </w:rPr>
        <w:t>垂直度。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横木的规格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10.95 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5.40 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3.50 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短头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2.06 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横木的两个头和中体有相同的中心线。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三柱门规格图</w:t>
      </w: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396615" cy="2705735"/>
            <wp:effectExtent l="0" t="0" r="1333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小横木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高级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初级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全长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10.95厘米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9.68厘米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3.49厘米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3.18厘米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5.40厘米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4.60厘米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2.06厘米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1.91厘米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木桩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高级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初级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高度（d）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71.1厘米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68.58厘米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直径（e）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最大值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3.81厘米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3.49厘米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最小值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3.49厘米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3.18厘米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三柱门的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总宽度（f）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22.86厘米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20.32厘米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（五）其他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为了更好地在我国开展板球运动，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体育总局小球运动管理中心</w:t>
      </w:r>
      <w:r>
        <w:rPr>
          <w:rFonts w:hint="eastAsia" w:ascii="仿宋" w:hAnsi="仿宋" w:eastAsia="仿宋" w:cs="仿宋"/>
          <w:sz w:val="32"/>
          <w:szCs w:val="32"/>
        </w:rPr>
        <w:t>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确定其他可以在中国境内使用的板球三柱门</w:t>
      </w:r>
      <w:r>
        <w:rPr>
          <w:rFonts w:hint="eastAsia" w:ascii="仿宋" w:hAnsi="仿宋" w:eastAsia="仿宋" w:cs="仿宋"/>
          <w:sz w:val="32"/>
          <w:szCs w:val="32"/>
        </w:rPr>
        <w:t>和横木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规格及三柱门</w:t>
      </w:r>
      <w:r>
        <w:rPr>
          <w:rFonts w:hint="eastAsia" w:ascii="仿宋" w:hAnsi="仿宋" w:eastAsia="仿宋" w:cs="仿宋"/>
          <w:sz w:val="32"/>
          <w:szCs w:val="32"/>
        </w:rPr>
        <w:t>间距。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bookmarkStart w:id="3" w:name="_Toc4472"/>
      <w:bookmarkStart w:id="4" w:name="_Toc2668"/>
      <w:bookmarkStart w:id="5" w:name="_Toc1774"/>
      <w:bookmarkStart w:id="6" w:name="_Toc681332"/>
      <w:bookmarkStart w:id="7" w:name="_Toc11269"/>
      <w:r>
        <w:rPr>
          <w:rFonts w:hint="eastAsia" w:ascii="仿宋" w:hAnsi="仿宋" w:eastAsia="仿宋" w:cs="仿宋"/>
          <w:b/>
          <w:bCs/>
          <w:sz w:val="32"/>
          <w:szCs w:val="32"/>
        </w:rPr>
        <w:t>守桩员手套</w:t>
      </w:r>
      <w:bookmarkEnd w:id="3"/>
      <w:bookmarkEnd w:id="4"/>
      <w:bookmarkEnd w:id="5"/>
      <w:bookmarkEnd w:id="6"/>
      <w:bookmarkEnd w:id="7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拇指与食指之间可以有一块没有弹性的材料作为支撑辅助物；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其它手指之间不能有联接物；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佩戴手套拇指伸直时，拇指尖不能超出拇指尖与食指尖连成的一条直线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005580" cy="2505075"/>
            <wp:effectExtent l="0" t="0" r="254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55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3925570" cy="2812415"/>
            <wp:effectExtent l="0" t="0" r="635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IDFont+F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DFont+F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DFont+F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D732C"/>
    <w:multiLevelType w:val="singleLevel"/>
    <w:tmpl w:val="342D732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0FC3619"/>
    <w:multiLevelType w:val="singleLevel"/>
    <w:tmpl w:val="70FC361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WY2YjE3MDI4YzQ4MWE3YTY3Y2RlNzJkODY5ZGMifQ=="/>
  </w:docVars>
  <w:rsids>
    <w:rsidRoot w:val="60AE6F37"/>
    <w:rsid w:val="01A12DAB"/>
    <w:rsid w:val="26512E4F"/>
    <w:rsid w:val="33956AA9"/>
    <w:rsid w:val="44462EE9"/>
    <w:rsid w:val="60AE6F37"/>
    <w:rsid w:val="6FC8396D"/>
    <w:rsid w:val="7F5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fontstyle01"/>
    <w:qFormat/>
    <w:uiPriority w:val="0"/>
    <w:rPr>
      <w:rFonts w:hint="default" w:ascii="CIDFont+F3" w:hAnsi="CIDFont+F3"/>
      <w:b/>
      <w:bCs/>
      <w:color w:val="000000"/>
      <w:sz w:val="22"/>
      <w:szCs w:val="22"/>
    </w:rPr>
  </w:style>
  <w:style w:type="character" w:customStyle="1" w:styleId="8">
    <w:name w:val="fontstyle21"/>
    <w:qFormat/>
    <w:uiPriority w:val="0"/>
    <w:rPr>
      <w:rFonts w:hint="default" w:ascii="CIDFont+F2" w:hAnsi="CIDFont+F2"/>
      <w:color w:val="000000"/>
      <w:sz w:val="22"/>
      <w:szCs w:val="22"/>
    </w:rPr>
  </w:style>
  <w:style w:type="character" w:customStyle="1" w:styleId="9">
    <w:name w:val="fontstyle31"/>
    <w:qFormat/>
    <w:uiPriority w:val="0"/>
    <w:rPr>
      <w:rFonts w:hint="default" w:ascii="CIDFont+F7" w:hAnsi="CIDFont+F7"/>
      <w:i/>
      <w:i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1558</Words>
  <Characters>1722</Characters>
  <Lines>0</Lines>
  <Paragraphs>0</Paragraphs>
  <TotalTime>0</TotalTime>
  <ScaleCrop>false</ScaleCrop>
  <LinksUpToDate>false</LinksUpToDate>
  <CharactersWithSpaces>1880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2022-06-16T00:32:00Z</dcterms:created>
  <dc:creator>SHEM</dc:creator>
  <cp:lastModifiedBy>SHEM</cp:lastModifiedBy>
  <cp:lastPrinted>2022-06-16T07:57:00Z</cp:lastPrinted>
  <dcterms:modified xsi:type="dcterms:W3CDTF">2022-06-23T08:17:19Z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265551FE3A6E4BFEA5FE50A38D8C6B79</vt:lpwstr>
  </property>
</Properties>
</file>