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 w:eastAsia="宋体" w:cs="黑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黑体"/>
          <w:b/>
          <w:bCs/>
          <w:sz w:val="44"/>
          <w:szCs w:val="44"/>
          <w:lang w:eastAsia="zh-CN"/>
        </w:rPr>
        <w:t>2015</w:t>
      </w:r>
      <w:r>
        <w:rPr>
          <w:rFonts w:hint="eastAsia" w:ascii="宋体" w:hAnsi="宋体" w:eastAsia="宋体" w:cs="黑体"/>
          <w:b/>
          <w:bCs/>
          <w:sz w:val="44"/>
          <w:szCs w:val="44"/>
          <w:lang w:val="zh-TW" w:eastAsia="zh-TW"/>
        </w:rPr>
        <w:t>年中国女子职业高尔夫球巡回赛</w:t>
      </w:r>
    </w:p>
    <w:p>
      <w:pPr>
        <w:spacing w:line="360" w:lineRule="auto"/>
        <w:ind w:firstLine="640"/>
        <w:jc w:val="center"/>
        <w:rPr>
          <w:rFonts w:hint="eastAsia" w:ascii="宋体" w:hAnsi="宋体" w:eastAsia="宋体" w:cs="黑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黑体"/>
          <w:b/>
          <w:bCs/>
          <w:sz w:val="44"/>
          <w:szCs w:val="44"/>
          <w:lang w:eastAsia="zh-CN"/>
        </w:rPr>
        <w:t>现代汽车·中国公开赛</w:t>
      </w:r>
    </w:p>
    <w:p>
      <w:pPr>
        <w:spacing w:line="360" w:lineRule="auto"/>
        <w:ind w:firstLine="640"/>
        <w:jc w:val="center"/>
        <w:rPr>
          <w:rFonts w:hint="eastAsia" w:ascii="宋体" w:hAnsi="宋体" w:eastAsia="宋体" w:cs="黑体"/>
          <w:b/>
          <w:bCs/>
          <w:sz w:val="44"/>
          <w:szCs w:val="44"/>
          <w:lang w:eastAsia="zh-CN"/>
        </w:rPr>
      </w:pPr>
    </w:p>
    <w:p>
      <w:pPr>
        <w:spacing w:line="360" w:lineRule="auto"/>
        <w:ind w:firstLine="64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一、 主办单位</w:t>
      </w:r>
    </w:p>
    <w:p>
      <w:pPr>
        <w:spacing w:line="360" w:lineRule="auto"/>
        <w:ind w:firstLine="1440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国家体育总局小球运动管理中心、中国高尔夫球协会</w:t>
      </w:r>
    </w:p>
    <w:p>
      <w:pPr>
        <w:spacing w:line="360" w:lineRule="auto"/>
        <w:ind w:firstLine="64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 xml:space="preserve">二、 认证单位 </w:t>
      </w:r>
    </w:p>
    <w:p>
      <w:pPr>
        <w:spacing w:line="360" w:lineRule="auto"/>
        <w:ind w:left="420" w:firstLine="42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中国女子职业高尔夫球巡回赛</w:t>
      </w:r>
    </w:p>
    <w:p>
      <w:pPr>
        <w:spacing w:line="360" w:lineRule="auto"/>
        <w:ind w:left="420" w:firstLine="42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韩国女子</w:t>
      </w:r>
      <w:r>
        <w:rPr>
          <w:rFonts w:ascii="仿宋_GB2312" w:eastAsia="仿宋_GB2312"/>
          <w:sz w:val="32"/>
          <w:szCs w:val="32"/>
          <w:lang w:eastAsia="zh-CN"/>
        </w:rPr>
        <w:t>职业高尔夫球巡回赛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三、 竞赛方式</w:t>
      </w:r>
    </w:p>
    <w:p>
      <w:pPr>
        <w:spacing w:line="360" w:lineRule="auto"/>
        <w:ind w:left="1118" w:leftChars="304" w:hanging="480" w:hangingChars="150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      三轮54洞比杆赛，其中前两轮为预赛轮，两轮过后根据参赛阵容进行淘汰，成绩排在前60（含并列）的职业球员可以获得晋级，成绩在晋级线内的业余球员也可获得晋级。所有晋级职业球员都可获得奖金。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四、参赛资格及名额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left="1276" w:hanging="142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CN"/>
        </w:rPr>
        <w:t>按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照中国高尔夫球协会批准的《</w:t>
      </w:r>
      <w:r>
        <w:rPr>
          <w:rFonts w:hint="eastAsia" w:ascii="仿宋_GB2312" w:eastAsia="仿宋_GB2312"/>
          <w:sz w:val="32"/>
          <w:szCs w:val="32"/>
          <w:lang w:eastAsia="zh-CN"/>
        </w:rPr>
        <w:t>2015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年中国女子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公开  </w:t>
      </w:r>
      <w:r>
        <w:rPr>
          <w:rFonts w:ascii="仿宋_GB2312" w:eastAsia="PMingLiU"/>
          <w:sz w:val="32"/>
          <w:szCs w:val="32"/>
          <w:lang w:val="zh-TW" w:eastAsia="zh-TW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赛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参赛资格及次序》执行。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="74" w:firstLineChars="0"/>
        <w:rPr>
          <w:rFonts w:hint="eastAsia"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所有参加比赛的业余球员不得获得奖金。</w:t>
      </w:r>
    </w:p>
    <w:p>
      <w:pPr>
        <w:spacing w:line="360" w:lineRule="auto"/>
        <w:ind w:firstLine="627"/>
        <w:rPr>
          <w:rFonts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五、 竞赛办法</w:t>
      </w:r>
    </w:p>
    <w:p>
      <w:pPr>
        <w:pStyle w:val="12"/>
        <w:numPr>
          <w:ilvl w:val="0"/>
          <w:numId w:val="2"/>
        </w:numPr>
        <w:spacing w:line="360" w:lineRule="auto"/>
        <w:ind w:left="1276" w:hanging="142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比赛采用连续三轮</w:t>
      </w:r>
      <w:r>
        <w:rPr>
          <w:rFonts w:hint="eastAsia" w:ascii="仿宋_GB2312" w:eastAsia="仿宋_GB2312"/>
          <w:sz w:val="32"/>
          <w:szCs w:val="32"/>
          <w:lang w:eastAsia="zh-CN"/>
        </w:rPr>
        <w:t>54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洞比杆赛的方式。</w:t>
      </w:r>
    </w:p>
    <w:p>
      <w:pPr>
        <w:pStyle w:val="12"/>
        <w:numPr>
          <w:ilvl w:val="0"/>
          <w:numId w:val="2"/>
        </w:numPr>
        <w:spacing w:line="360" w:lineRule="auto"/>
        <w:ind w:left="1418" w:hanging="284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当第一名出现平分时，将采用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骤死式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加洞赛的方式决定冠军。如果加洞赛人数超过两人，不论赛果，冠军以外的同时并列第二名。</w:t>
      </w:r>
    </w:p>
    <w:p>
      <w:pPr>
        <w:pStyle w:val="12"/>
        <w:numPr>
          <w:ilvl w:val="0"/>
          <w:numId w:val="2"/>
        </w:numPr>
        <w:spacing w:line="360" w:lineRule="auto"/>
        <w:ind w:left="1418" w:hanging="284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比赛采用由中国高尔夫球协会审定，苏格兰圣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安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德鲁斯皇家古老高尔夫球俱乐部和美国高尔夫球协会联合颁布的</w:t>
      </w:r>
      <w:r>
        <w:rPr>
          <w:rFonts w:hint="eastAsia" w:ascii="仿宋_GB2312" w:eastAsia="仿宋_GB2312"/>
          <w:sz w:val="32"/>
          <w:szCs w:val="32"/>
          <w:lang w:eastAsia="zh-CN"/>
        </w:rPr>
        <w:t>2012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年版《高尔夫规则》。</w:t>
      </w:r>
    </w:p>
    <w:p>
      <w:pPr>
        <w:pStyle w:val="12"/>
        <w:numPr>
          <w:ilvl w:val="0"/>
          <w:numId w:val="2"/>
        </w:numPr>
        <w:spacing w:line="360" w:lineRule="auto"/>
        <w:ind w:left="1418" w:hanging="284" w:firstLineChars="0"/>
        <w:rPr>
          <w:rFonts w:hint="eastAsia"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竞赛委员会制定的比赛条件和当地规则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六、 参赛人数</w:t>
      </w:r>
    </w:p>
    <w:p>
      <w:pPr>
        <w:adjustRightInd w:val="0"/>
        <w:snapToGrid w:val="0"/>
        <w:spacing w:line="360" w:lineRule="auto"/>
        <w:ind w:left="798" w:firstLine="640"/>
        <w:rPr>
          <w:rFonts w:hint="eastAsia" w:ascii="仿宋_GB2312" w:eastAsia="PMingLiU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参赛总人数不超过1</w:t>
      </w:r>
      <w:r>
        <w:rPr>
          <w:rFonts w:hint="eastAsia" w:ascii="仿宋_GB2312" w:eastAsia="仿宋_GB2312"/>
          <w:sz w:val="32"/>
          <w:szCs w:val="32"/>
          <w:lang w:eastAsia="zh-CN"/>
        </w:rPr>
        <w:t>08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人。</w:t>
      </w:r>
    </w:p>
    <w:p>
      <w:pPr>
        <w:adjustRightInd w:val="0"/>
        <w:snapToGrid w:val="0"/>
        <w:spacing w:line="360" w:lineRule="auto"/>
        <w:ind w:firstLine="627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七、总奖金及奖励办法</w:t>
      </w:r>
    </w:p>
    <w:p>
      <w:pPr>
        <w:adjustRightInd w:val="0"/>
        <w:snapToGrid w:val="0"/>
        <w:spacing w:line="360" w:lineRule="auto"/>
        <w:ind w:left="1839" w:hanging="989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（一）  赛事总奖金为</w:t>
      </w:r>
      <w:r>
        <w:rPr>
          <w:rFonts w:hint="eastAsia" w:ascii="仿宋_GB2312" w:eastAsia="仿宋_GB2312"/>
          <w:sz w:val="32"/>
          <w:szCs w:val="32"/>
          <w:lang w:eastAsia="zh-CN"/>
        </w:rPr>
        <w:t>550,000美金</w:t>
      </w:r>
    </w:p>
    <w:p>
      <w:pPr>
        <w:adjustRightInd w:val="0"/>
        <w:snapToGrid w:val="0"/>
        <w:spacing w:line="360" w:lineRule="auto"/>
        <w:ind w:left="1839" w:hanging="989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（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二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）  晋级规定</w:t>
      </w:r>
    </w:p>
    <w:p>
      <w:pPr>
        <w:adjustRightInd w:val="0"/>
        <w:snapToGrid w:val="0"/>
        <w:spacing w:line="360" w:lineRule="auto"/>
        <w:ind w:left="2118" w:hanging="48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、赛事前两轮为预赛，在预赛中成绩排列前</w:t>
      </w:r>
      <w:r>
        <w:rPr>
          <w:rFonts w:hint="eastAsia" w:ascii="仿宋_GB2312" w:eastAsia="仿宋_GB2312"/>
          <w:sz w:val="32"/>
          <w:szCs w:val="32"/>
          <w:lang w:eastAsia="zh-CN"/>
        </w:rPr>
        <w:t>60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位（含并列）的职业球员可以晋级到最后一轮的比赛，所有晋级的职业球员都将获得奖金。</w:t>
      </w:r>
    </w:p>
    <w:p>
      <w:pPr>
        <w:adjustRightInd w:val="0"/>
        <w:snapToGrid w:val="0"/>
        <w:spacing w:line="360" w:lineRule="auto"/>
        <w:ind w:left="2076" w:hanging="480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、若选手第一轮或单轮成绩达到或超过</w:t>
      </w:r>
      <w:r>
        <w:rPr>
          <w:rFonts w:hint="eastAsia" w:ascii="仿宋_GB2312" w:eastAsia="仿宋_GB2312"/>
          <w:sz w:val="32"/>
          <w:szCs w:val="32"/>
          <w:lang w:eastAsia="zh-CN"/>
        </w:rPr>
        <w:t>88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杆，则将直接取消选手的参赛资格。</w:t>
      </w:r>
    </w:p>
    <w:p>
      <w:pPr>
        <w:adjustRightInd w:val="0"/>
        <w:snapToGrid w:val="0"/>
        <w:spacing w:line="360" w:lineRule="auto"/>
        <w:ind w:firstLine="627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八、仲裁委员和裁判员：</w:t>
      </w:r>
    </w:p>
    <w:p>
      <w:pPr>
        <w:adjustRightInd w:val="0"/>
        <w:snapToGrid w:val="0"/>
        <w:spacing w:line="360" w:lineRule="auto"/>
        <w:ind w:firstLine="1120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由中国高尔夫球协会选派仲裁主任、裁判长、裁判员。</w:t>
      </w:r>
    </w:p>
    <w:p>
      <w:pPr>
        <w:adjustRightInd w:val="0"/>
        <w:snapToGrid w:val="0"/>
        <w:spacing w:line="360" w:lineRule="auto"/>
        <w:ind w:firstLine="627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九、费用</w:t>
      </w:r>
    </w:p>
    <w:p>
      <w:pPr>
        <w:adjustRightInd w:val="0"/>
        <w:snapToGrid w:val="0"/>
        <w:spacing w:line="360" w:lineRule="auto"/>
        <w:ind w:firstLine="1058"/>
        <w:rPr>
          <w:rFonts w:hint="eastAsia"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各参赛球员食、宿、差旅费自理，球场击球费自理。</w:t>
      </w:r>
    </w:p>
    <w:p>
      <w:pPr>
        <w:adjustRightInd w:val="0"/>
        <w:snapToGrid w:val="0"/>
        <w:spacing w:line="360" w:lineRule="auto"/>
        <w:ind w:left="630" w:leftChars="30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十、本规程最终解释权属国家体育总局小球运动管理中心、中国高尔夫球协会。</w:t>
      </w:r>
    </w:p>
    <w:p>
      <w:pPr>
        <w:spacing w:line="360" w:lineRule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br w:type="page"/>
      </w:r>
    </w:p>
    <w:p>
      <w:pPr>
        <w:spacing w:line="360" w:lineRule="auto"/>
        <w:rPr>
          <w:rFonts w:ascii="仿宋_GB2312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zh-TW" w:eastAsia="zh-TW"/>
        </w:rPr>
        <w:t>附件一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2015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zh-TW" w:eastAsia="zh-TW"/>
        </w:rPr>
        <w:t>年中国女子职业高尔夫球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zh-TW" w:eastAsia="zh-TW"/>
        </w:rPr>
        <w:t>巡回赛（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CLPGA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zh-TW" w:eastAsia="zh-TW"/>
        </w:rPr>
        <w:t>）赛事注意事项</w:t>
      </w:r>
    </w:p>
    <w:p>
      <w:pPr>
        <w:spacing w:line="360" w:lineRule="auto"/>
        <w:ind w:firstLine="707" w:firstLineChars="221"/>
        <w:jc w:val="left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所有参加</w:t>
      </w:r>
      <w:r>
        <w:rPr>
          <w:rFonts w:hint="eastAsia" w:ascii="仿宋_GB2312" w:eastAsia="仿宋_GB2312"/>
          <w:sz w:val="32"/>
          <w:szCs w:val="32"/>
          <w:lang w:eastAsia="zh-CN"/>
        </w:rPr>
        <w:t>2015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年中国女子职业巡回赛的球员应知晓并遵守</w:t>
      </w:r>
      <w:r>
        <w:rPr>
          <w:rFonts w:hint="eastAsia" w:ascii="仿宋_GB2312" w:eastAsia="仿宋_GB2312"/>
          <w:sz w:val="32"/>
          <w:szCs w:val="32"/>
          <w:lang w:eastAsia="zh-CN"/>
        </w:rPr>
        <w:t>2015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年中国女子职业巡回赛球员手册的相关内容，其中包括但不限于以下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容：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球员义务：</w:t>
      </w:r>
    </w:p>
    <w:p>
      <w:pPr>
        <w:pStyle w:val="12"/>
        <w:numPr>
          <w:ilvl w:val="0"/>
          <w:numId w:val="4"/>
        </w:numPr>
        <w:spacing w:line="360" w:lineRule="auto"/>
        <w:ind w:left="851" w:hanging="851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当中国高尔夫球协会或中国女子职业高尔夫球巡回赛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组委会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新闻官要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求参赛球员参加赛后举办的新闻采访，所有球员有义务出席；</w:t>
      </w:r>
    </w:p>
    <w:p>
      <w:pPr>
        <w:pStyle w:val="12"/>
        <w:numPr>
          <w:ilvl w:val="0"/>
          <w:numId w:val="4"/>
        </w:numPr>
        <w:spacing w:line="360" w:lineRule="auto"/>
        <w:ind w:left="851" w:hanging="851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冠军必须履行接受媒体采访和拍照的义务，直至颁奖典礼结束后两小时为止。如不能履行此项义务，须提前告知中国女子职业高尔夫球巡回赛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组委会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新闻官并做出解释。</w:t>
      </w:r>
    </w:p>
    <w:p>
      <w:pPr>
        <w:spacing w:line="360" w:lineRule="auto"/>
        <w:rPr>
          <w:rFonts w:ascii="仿宋_GB2312" w:eastAsia="仿宋_GB2312"/>
          <w:sz w:val="32"/>
          <w:szCs w:val="32"/>
          <w:lang w:val="zh-TW"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二、职业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业余配对赛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中国女子职业球员有参加职业业余配对赛的义务。</w:t>
      </w:r>
    </w:p>
    <w:p>
      <w:pPr>
        <w:pStyle w:val="12"/>
        <w:numPr>
          <w:ilvl w:val="0"/>
          <w:numId w:val="5"/>
        </w:numPr>
        <w:spacing w:line="360" w:lineRule="auto"/>
        <w:ind w:left="851" w:hanging="851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中国女子职业高尔夫球巡回赛组委会将根据配对赛报名人数指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定职业球员参加职业</w:t>
      </w:r>
      <w:r>
        <w:rPr>
          <w:rFonts w:hint="eastAsia" w:ascii="仿宋_GB2312" w:eastAsia="仿宋_GB2312"/>
          <w:sz w:val="32"/>
          <w:szCs w:val="32"/>
          <w:lang w:eastAsia="zh-CN"/>
        </w:rPr>
        <w:t>-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业余配对赛，球员须与同组比赛的嘉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宾共进午餐</w:t>
      </w:r>
      <w:r>
        <w:rPr>
          <w:rFonts w:hint="eastAsia" w:ascii="仿宋_GB2312" w:eastAsia="仿宋_GB2312"/>
          <w:sz w:val="32"/>
          <w:szCs w:val="32"/>
          <w:lang w:eastAsia="zh-CN"/>
        </w:rPr>
        <w:t>/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晚餐，并留在活动现场直至活动结束。</w:t>
      </w:r>
    </w:p>
    <w:p>
      <w:pPr>
        <w:pStyle w:val="12"/>
        <w:numPr>
          <w:ilvl w:val="0"/>
          <w:numId w:val="5"/>
        </w:numPr>
        <w:spacing w:line="360" w:lineRule="auto"/>
        <w:ind w:left="851" w:hanging="851" w:firstLineChars="0"/>
        <w:rPr>
          <w:rFonts w:ascii="仿宋_GB2312" w:hAnsi="ArialUnicodeMS" w:eastAsia="仿宋_GB2312" w:cs="ArialUnicodeMS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所有选手须参加组委会在比赛前所举行的</w:t>
      </w:r>
      <w:r>
        <w:rPr>
          <w:rFonts w:hint="eastAsia" w:ascii="仿宋_GB2312" w:eastAsia="仿宋_GB2312"/>
          <w:sz w:val="32"/>
          <w:szCs w:val="32"/>
          <w:lang w:eastAsia="zh-CN"/>
        </w:rPr>
        <w:t>2015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年中国女子职业高尔夫球巡回赛礼仪规则培训。</w:t>
      </w:r>
    </w:p>
    <w:p>
      <w:pPr>
        <w:spacing w:line="360" w:lineRule="auto"/>
        <w:rPr>
          <w:rFonts w:ascii="仿宋_GB2312" w:hAnsi="ArialUnicodeMS" w:eastAsia="仿宋_GB2312" w:cs="ArialUnicodeMS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三、肖像权：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t>所有参赛球员的肖像权归属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中国女子职业高尔夫球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巡回赛组</w:t>
      </w:r>
      <w:r>
        <w:rPr>
          <w:rFonts w:hint="eastAsia" w:ascii="仿宋_GB2312" w:eastAsia="仿宋_GB2312"/>
          <w:sz w:val="32"/>
          <w:szCs w:val="32"/>
          <w:lang w:val="zh-TW" w:eastAsia="zh-CN"/>
        </w:rPr>
        <w:t>委会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。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  <w:lang w:val="zh-TW" w:eastAsia="zh-TW"/>
        </w:rPr>
        <w:br w:type="page"/>
      </w:r>
    </w:p>
    <w:p>
      <w:pPr>
        <w:spacing w:line="360" w:lineRule="auto"/>
        <w:rPr>
          <w:rFonts w:ascii="仿宋_GB2312" w:hAnsi="宋体" w:eastAsia="仿宋_GB2312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zh-TW" w:eastAsia="zh-TW"/>
        </w:rPr>
        <w:t>附件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二</w:t>
      </w:r>
    </w:p>
    <w:p>
      <w:pPr>
        <w:pStyle w:val="7"/>
        <w:widowControl/>
        <w:tabs>
          <w:tab w:val="left" w:pos="2270"/>
          <w:tab w:val="left" w:pos="2552"/>
          <w:tab w:val="left" w:pos="2977"/>
        </w:tabs>
        <w:snapToGrid w:val="0"/>
        <w:spacing w:beforeAutospacing="1" w:afterAutospacing="1" w:line="360" w:lineRule="auto"/>
        <w:ind w:right="-424" w:rightChars="-202"/>
        <w:contextualSpacing/>
        <w:jc w:val="center"/>
        <w:rPr>
          <w:rFonts w:ascii="仿宋_GB2312" w:hAnsi="Cambria" w:eastAsia="仿宋_GB2312" w:cs="Calibri"/>
          <w:b/>
          <w:sz w:val="32"/>
          <w:szCs w:val="32"/>
          <w:lang w:eastAsia="zh-CN"/>
        </w:rPr>
      </w:pPr>
      <w:r>
        <w:rPr>
          <w:rFonts w:hint="eastAsia" w:ascii="仿宋_GB2312" w:hAnsi="Cambria" w:eastAsia="仿宋_GB2312" w:cs="Calibri"/>
          <w:b/>
          <w:sz w:val="32"/>
          <w:szCs w:val="32"/>
          <w:lang w:eastAsia="zh-CN"/>
        </w:rPr>
        <w:t>2015</w:t>
      </w:r>
      <w:r>
        <w:rPr>
          <w:rFonts w:hint="eastAsia" w:ascii="仿宋_GB2312" w:hAnsi="Calibri" w:eastAsia="仿宋_GB2312" w:cs="Calibri"/>
          <w:b/>
          <w:sz w:val="32"/>
          <w:szCs w:val="32"/>
          <w:lang w:eastAsia="zh-CN"/>
        </w:rPr>
        <w:t>年现代汽车</w:t>
      </w:r>
      <w:r>
        <w:rPr>
          <w:rFonts w:hint="eastAsia" w:ascii="仿宋_GB2312" w:hAnsi="Cambria" w:eastAsia="仿宋_GB2312" w:cs="Calibri"/>
          <w:b/>
          <w:sz w:val="32"/>
          <w:szCs w:val="32"/>
          <w:lang w:eastAsia="zh-CN"/>
        </w:rPr>
        <w:t>·</w:t>
      </w:r>
      <w:r>
        <w:rPr>
          <w:rFonts w:hint="eastAsia" w:ascii="仿宋_GB2312" w:hAnsi="Calibri" w:eastAsia="仿宋_GB2312" w:cs="Calibri"/>
          <w:b/>
          <w:sz w:val="32"/>
          <w:szCs w:val="32"/>
          <w:lang w:eastAsia="zh-CN"/>
        </w:rPr>
        <w:t>中国女子公开赛日程</w:t>
      </w:r>
    </w:p>
    <w:p>
      <w:pPr>
        <w:pStyle w:val="7"/>
        <w:widowControl/>
        <w:tabs>
          <w:tab w:val="left" w:pos="2694"/>
        </w:tabs>
        <w:snapToGrid w:val="0"/>
        <w:spacing w:beforeAutospacing="1" w:afterAutospacing="1" w:line="360" w:lineRule="auto"/>
        <w:ind w:right="-424" w:rightChars="-202"/>
        <w:contextualSpacing/>
        <w:jc w:val="center"/>
        <w:rPr>
          <w:rFonts w:ascii="仿宋_GB2312" w:hAnsi="Cambria" w:eastAsia="仿宋_GB2312" w:cs="Calibri"/>
          <w:b/>
          <w:sz w:val="32"/>
          <w:szCs w:val="32"/>
        </w:rPr>
      </w:pPr>
      <w:r>
        <w:rPr>
          <w:rFonts w:hint="eastAsia" w:ascii="仿宋_GB2312" w:hAnsi="Cambria" w:eastAsia="仿宋_GB2312" w:cs="Calibri"/>
          <w:b/>
          <w:sz w:val="32"/>
          <w:szCs w:val="32"/>
        </w:rPr>
        <w:t>2015 Hyundai</w:t>
      </w:r>
      <w:r>
        <w:rPr>
          <w:rFonts w:hint="eastAsia" w:ascii="仿宋_GB2312" w:hAnsi="Cambria" w:eastAsia="仿宋_GB2312" w:cs="Calibri"/>
          <w:b/>
          <w:sz w:val="32"/>
          <w:szCs w:val="32"/>
          <w:lang w:eastAsia="zh-CN"/>
        </w:rPr>
        <w:t>·</w:t>
      </w:r>
      <w:r>
        <w:rPr>
          <w:rFonts w:hint="eastAsia" w:ascii="仿宋_GB2312" w:hAnsi="Cambria" w:eastAsia="仿宋_GB2312" w:cs="Calibri"/>
          <w:b/>
          <w:sz w:val="32"/>
          <w:szCs w:val="32"/>
        </w:rPr>
        <w:t>China Ladies Open Schedule</w:t>
      </w:r>
    </w:p>
    <w:p>
      <w:pPr>
        <w:pStyle w:val="7"/>
        <w:widowControl/>
        <w:tabs>
          <w:tab w:val="left" w:pos="2694"/>
        </w:tabs>
        <w:snapToGrid w:val="0"/>
        <w:spacing w:line="360" w:lineRule="auto"/>
        <w:ind w:right="-993" w:rightChars="-473"/>
        <w:contextualSpacing/>
        <w:rPr>
          <w:rFonts w:ascii="仿宋_GB2312" w:hAnsi="Cambria" w:eastAsia="仿宋_GB2312" w:cs="Calibri"/>
          <w:b/>
          <w:sz w:val="32"/>
          <w:szCs w:val="32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877" w:tblpY="89"/>
        <w:tblOverlap w:val="never"/>
        <w:tblW w:w="10485" w:type="dxa"/>
        <w:tblBorders>
          <w:top w:val="thinThickThinSmallGap" w:color="auto" w:sz="18" w:space="0"/>
          <w:left w:val="thinThickThinSmallGap" w:color="auto" w:sz="18" w:space="0"/>
          <w:bottom w:val="thinThickThinSmallGap" w:color="auto" w:sz="18" w:space="0"/>
          <w:right w:val="thinThickThinSmallGap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left w:w="108" w:type="dxa"/>
          <w:right w:w="108" w:type="dxa"/>
        </w:tblCellMar>
      </w:tblPr>
      <w:tblGrid>
        <w:gridCol w:w="1633"/>
        <w:gridCol w:w="1844"/>
        <w:gridCol w:w="1986"/>
        <w:gridCol w:w="2694"/>
        <w:gridCol w:w="2328"/>
      </w:tblGrid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1633" w:type="dxa"/>
            <w:tcBorders>
              <w:top w:val="thinThickThinSmallGap" w:color="auto" w:sz="18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shd w:val="clear" w:color="auto" w:fill="8DB3E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日期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DATE</w:t>
            </w:r>
          </w:p>
        </w:tc>
        <w:tc>
          <w:tcPr>
            <w:tcW w:w="1844" w:type="dxa"/>
            <w:tcBorders>
              <w:top w:val="thinThickThinSmallGap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8DB3E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内容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ITEM</w:t>
            </w:r>
          </w:p>
        </w:tc>
        <w:tc>
          <w:tcPr>
            <w:tcW w:w="1986" w:type="dxa"/>
            <w:tcBorders>
              <w:top w:val="thinThickThinSmallGap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8DB3E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时间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2694" w:type="dxa"/>
            <w:tcBorders>
              <w:top w:val="thinThickThinSmallGap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8DB3E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EVENTS</w:t>
            </w:r>
          </w:p>
        </w:tc>
        <w:tc>
          <w:tcPr>
            <w:tcW w:w="2328" w:type="dxa"/>
            <w:tcBorders>
              <w:top w:val="thinThickThinSmallGap" w:color="auto" w:sz="18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shd w:val="clear" w:color="auto" w:fill="8DB3E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地点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LOCATION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33" w:type="dxa"/>
            <w:vMerge w:val="restart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12月7日(星期一)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(Mon)</w:t>
            </w: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报到Register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练习轮Practice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08:00 - 17:00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选手报到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Player Registration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赛事办公室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Office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须提前预约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Reservation only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选手练习日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Practice Day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33" w:type="dxa"/>
            <w:vMerge w:val="restart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12月8日(星期二)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(Tue)</w:t>
            </w: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练习轮Practice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报到Register开幕照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Photo Call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07:00 - 17:00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选手报到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Player Registration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赛事办公室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Office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须提前预约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Reservation only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选手练习日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Practice Day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widowControl/>
              <w:spacing w:line="360" w:lineRule="auto"/>
              <w:ind w:left="14" w:leftChars="-16" w:hanging="48" w:hangingChars="15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33" w:type="dxa"/>
            <w:vMerge w:val="restart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12月9日(星期三)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(Wed)</w:t>
            </w: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练习轮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配对赛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欢迎晚宴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Practice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 w:firstLine="64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Pro-am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Welcome Dinner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07:00 - 17:00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选手报到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Player Registration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赛事办公室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Office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职业业余配对赛开球仪式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Opening Ceremony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待定（TBC）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12:20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职业业余配对赛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Pro-am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19:00-20:30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职业业余配对赛颁奖晚宴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Pro-am Award Gala Dinner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待定（TBC）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633" w:type="dxa"/>
            <w:vMerge w:val="restart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12月10日(星期四)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(Thu)</w:t>
            </w: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练习轮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Practice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新闻发布会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Press Conference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07:00 - 17:00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选手报到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Player Registration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赛事办公室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Office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须提前预约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Reservation only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选手练习日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Practice Day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633" w:type="dxa"/>
            <w:vMerge w:val="continue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15:00-16:00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新闻发布会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2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Press Conference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待定（TBC）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33" w:type="dxa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12月11日(星期五)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(Fri)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比赛第一轮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day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7:00-17:00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职业比赛第一轮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Round 1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33" w:type="dxa"/>
            <w:tcBorders>
              <w:top w:val="single" w:color="auto" w:sz="12" w:space="0"/>
              <w:left w:val="thinThickThinSmallGap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12月12日(星期六)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(Sat)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比赛第二轮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day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7:00-17:00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职业比赛第二轮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Round 2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33" w:type="dxa"/>
            <w:vMerge w:val="restart"/>
            <w:tcBorders>
              <w:top w:val="single" w:color="auto" w:sz="12" w:space="0"/>
              <w:left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12月13日(星期日)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Dec (Sun)</w:t>
            </w: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比赛第三轮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2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day</w:t>
            </w: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ko-K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待定 TBC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职业比赛第三轮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Tournament Final Round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海口观澜湖黑石球场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Blackstone Course ,</w:t>
            </w:r>
          </w:p>
          <w:p>
            <w:pPr>
              <w:widowControl/>
              <w:spacing w:line="360" w:lineRule="auto"/>
              <w:ind w:left="14" w:leftChars="-16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633" w:type="dxa"/>
            <w:vMerge w:val="continue"/>
            <w:tcBorders>
              <w:left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ko-K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16:30（待定TBC）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职业赛颁奖仪式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Award Ceremony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黑石球场18号果岭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superscript"/>
                <w:lang w:eastAsia="zh-CN"/>
              </w:rPr>
              <w:t>th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Green Blackstone Course</w:t>
            </w:r>
          </w:p>
        </w:tc>
      </w:tr>
      <w:tr>
        <w:tblPrEx>
          <w:tblBorders>
            <w:top w:val="thinThickThinSmallGap" w:color="auto" w:sz="18" w:space="0"/>
            <w:left w:val="thinThickThinSmallGap" w:color="auto" w:sz="18" w:space="0"/>
            <w:bottom w:val="thinThickThinSmallGap" w:color="auto" w:sz="18" w:space="0"/>
            <w:right w:val="thinThickThinSmallGap" w:color="auto" w:sz="18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633" w:type="dxa"/>
            <w:vMerge w:val="continue"/>
            <w:tcBorders>
              <w:left w:val="thinThickThinSmallGap" w:color="auto" w:sz="18" w:space="0"/>
              <w:bottom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12" w:space="0"/>
              <w:bottom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18:30(待定TBC)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thinThickThinSmallGap" w:color="auto" w:sz="1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晚宴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-2474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Anniversary Dinner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12" w:space="0"/>
              <w:bottom w:val="thinThickThinSmallGap" w:color="auto" w:sz="18" w:space="0"/>
              <w:right w:val="thinThickThinSmallGap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2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海口观澜湖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4" w:leftChars="-16" w:right="-2474" w:hanging="48" w:hangingChars="15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Mission Hills Haikou</w:t>
            </w:r>
          </w:p>
        </w:tc>
      </w:tr>
    </w:tbl>
    <w:p>
      <w:pPr>
        <w:spacing w:line="360" w:lineRule="auto"/>
        <w:rPr>
          <w:rFonts w:ascii="仿宋_GB2312" w:eastAsia="仿宋_GB2312"/>
          <w:sz w:val="32"/>
          <w:szCs w:val="32"/>
          <w:lang w:eastAsia="zh-CN"/>
        </w:rPr>
      </w:pPr>
    </w:p>
    <w:sectPr>
      <w:headerReference r:id="rId4" w:type="default"/>
      <w:footerReference r:id="rId5" w:type="default"/>
      <w:pgSz w:w="11900" w:h="16840"/>
      <w:pgMar w:top="720" w:right="1410" w:bottom="720" w:left="709" w:header="851" w:footer="7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both"/>
    </w:pPr>
    <w:r>
      <w:rPr>
        <w:rFonts w:ascii="Times New Roman" w:hAnsi="Arial Unicode MS" w:eastAsia="Arial Unicode MS" w:cs="Arial Unicode MS"/>
        <w:color w:val="000000"/>
        <w:kern w:val="2"/>
        <w:sz w:val="18"/>
        <w:szCs w:val="18"/>
        <w:u w:val="none" w:color="000000"/>
        <w:lang w:val="en-US" w:eastAsia="zh-CN" w:bidi="ar-SA"/>
      </w:rPr>
      <w:pict>
        <v:shape id="officeArt object" o:spid="_x0000_s1025" type="#_x0000_t75" style="position:absolute;left:0;margin-left:39.95pt;margin-top:19.05pt;height:35.1pt;width:503.15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0984930">
    <w:nsid w:val="77DD31E2"/>
    <w:multiLevelType w:val="multilevel"/>
    <w:tmpl w:val="77DD31E2"/>
    <w:lvl w:ilvl="0" w:tentative="1">
      <w:start w:val="1"/>
      <w:numFmt w:val="chineseCountingThousand"/>
      <w:lvlText w:val="(%1)"/>
      <w:lvlJc w:val="left"/>
      <w:pPr>
        <w:ind w:left="1555" w:hanging="420"/>
      </w:pPr>
    </w:lvl>
    <w:lvl w:ilvl="1" w:tentative="1">
      <w:start w:val="1"/>
      <w:numFmt w:val="lowerLetter"/>
      <w:lvlText w:val="%2)"/>
      <w:lvlJc w:val="left"/>
      <w:pPr>
        <w:ind w:left="1467" w:hanging="420"/>
      </w:pPr>
    </w:lvl>
    <w:lvl w:ilvl="2" w:tentative="1">
      <w:start w:val="1"/>
      <w:numFmt w:val="lowerRoman"/>
      <w:lvlText w:val="%3."/>
      <w:lvlJc w:val="right"/>
      <w:pPr>
        <w:ind w:left="1887" w:hanging="420"/>
      </w:pPr>
    </w:lvl>
    <w:lvl w:ilvl="3" w:tentative="1">
      <w:start w:val="1"/>
      <w:numFmt w:val="decimal"/>
      <w:lvlText w:val="%4."/>
      <w:lvlJc w:val="left"/>
      <w:pPr>
        <w:ind w:left="2307" w:hanging="420"/>
      </w:pPr>
    </w:lvl>
    <w:lvl w:ilvl="4" w:tentative="1">
      <w:start w:val="1"/>
      <w:numFmt w:val="lowerLetter"/>
      <w:lvlText w:val="%5)"/>
      <w:lvlJc w:val="left"/>
      <w:pPr>
        <w:ind w:left="2727" w:hanging="420"/>
      </w:pPr>
    </w:lvl>
    <w:lvl w:ilvl="5" w:tentative="1">
      <w:start w:val="1"/>
      <w:numFmt w:val="lowerRoman"/>
      <w:lvlText w:val="%6."/>
      <w:lvlJc w:val="right"/>
      <w:pPr>
        <w:ind w:left="3147" w:hanging="420"/>
      </w:pPr>
    </w:lvl>
    <w:lvl w:ilvl="6" w:tentative="1">
      <w:start w:val="1"/>
      <w:numFmt w:val="decimal"/>
      <w:lvlText w:val="%7."/>
      <w:lvlJc w:val="left"/>
      <w:pPr>
        <w:ind w:left="3567" w:hanging="420"/>
      </w:pPr>
    </w:lvl>
    <w:lvl w:ilvl="7" w:tentative="1">
      <w:start w:val="1"/>
      <w:numFmt w:val="lowerLetter"/>
      <w:lvlText w:val="%8)"/>
      <w:lvlJc w:val="left"/>
      <w:pPr>
        <w:ind w:left="3987" w:hanging="420"/>
      </w:pPr>
    </w:lvl>
    <w:lvl w:ilvl="8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2121996280">
    <w:nsid w:val="7E7B17F8"/>
    <w:multiLevelType w:val="multilevel"/>
    <w:tmpl w:val="7E7B17F8"/>
    <w:lvl w:ilvl="0" w:tentative="1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807325">
    <w:nsid w:val="01E5575D"/>
    <w:multiLevelType w:val="multilevel"/>
    <w:tmpl w:val="01E5575D"/>
    <w:lvl w:ilvl="0" w:tentative="1">
      <w:start w:val="1"/>
      <w:numFmt w:val="japaneseCounting"/>
      <w:lvlText w:val="%1、"/>
      <w:lvlJc w:val="left"/>
      <w:pPr>
        <w:ind w:left="630" w:hanging="630"/>
      </w:pPr>
      <w:rPr>
        <w:rFonts w:hint="default" w:eastAsia="Arial Unicode M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3661624">
    <w:nsid w:val="210034B8"/>
    <w:multiLevelType w:val="multilevel"/>
    <w:tmpl w:val="210034B8"/>
    <w:lvl w:ilvl="0" w:tentative="1">
      <w:start w:val="1"/>
      <w:numFmt w:val="chineseCountingThousand"/>
      <w:lvlText w:val="(%1)"/>
      <w:lvlJc w:val="left"/>
      <w:pPr>
        <w:ind w:left="1060" w:hanging="420"/>
      </w:p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708919">
    <w:nsid w:val="014B4077"/>
    <w:multiLevelType w:val="multilevel"/>
    <w:tmpl w:val="014B4077"/>
    <w:lvl w:ilvl="0" w:tentative="1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53661624"/>
  </w:num>
  <w:num w:numId="2">
    <w:abstractNumId w:val="2010984930"/>
  </w:num>
  <w:num w:numId="3">
    <w:abstractNumId w:val="31807325"/>
  </w:num>
  <w:num w:numId="4">
    <w:abstractNumId w:val="21708919"/>
  </w:num>
  <w:num w:numId="5">
    <w:abstractNumId w:val="21219962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10A0"/>
    <w:rsid w:val="000C5FF1"/>
    <w:rsid w:val="000D6AF3"/>
    <w:rsid w:val="0010658E"/>
    <w:rsid w:val="00167A94"/>
    <w:rsid w:val="00254DB8"/>
    <w:rsid w:val="00536B45"/>
    <w:rsid w:val="005D0B9B"/>
    <w:rsid w:val="00697998"/>
    <w:rsid w:val="006D2042"/>
    <w:rsid w:val="00883AF7"/>
    <w:rsid w:val="008C7302"/>
    <w:rsid w:val="00925339"/>
    <w:rsid w:val="009E423F"/>
    <w:rsid w:val="00A467AF"/>
    <w:rsid w:val="00AE221B"/>
    <w:rsid w:val="00BC0855"/>
    <w:rsid w:val="00C110A0"/>
    <w:rsid w:val="00D70758"/>
    <w:rsid w:val="00D860D7"/>
    <w:rsid w:val="00E21F4A"/>
    <w:rsid w:val="00E828EA"/>
    <w:rsid w:val="00EC62ED"/>
    <w:rsid w:val="00EE65FE"/>
    <w:rsid w:val="00F40892"/>
    <w:rsid w:val="00FC193B"/>
    <w:rsid w:val="0A102BAC"/>
    <w:rsid w:val="0FEB648B"/>
    <w:rsid w:val="10DB1021"/>
    <w:rsid w:val="11473B83"/>
    <w:rsid w:val="17787D90"/>
    <w:rsid w:val="1D4F4622"/>
    <w:rsid w:val="223A2B79"/>
    <w:rsid w:val="298F3BD9"/>
    <w:rsid w:val="50A53BDC"/>
    <w:rsid w:val="530E2D51"/>
    <w:rsid w:val="683A1C10"/>
    <w:rsid w:val="6C955B1D"/>
    <w:rsid w:val="6EF23592"/>
    <w:rsid w:val="720241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val="none" w:color="000000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  <w:lang w:eastAsia="zh-CN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jc w:val="center"/>
    </w:pPr>
    <w:rPr>
      <w:sz w:val="18"/>
      <w:szCs w:val="18"/>
      <w:lang w:eastAsia="zh-CN"/>
    </w:rPr>
  </w:style>
  <w:style w:type="paragraph" w:styleId="7">
    <w:name w:val="Normal (Web)"/>
    <w:basedOn w:val="1"/>
    <w:unhideWhenUsed/>
    <w:uiPriority w:val="0"/>
    <w:rPr>
      <w:sz w:val="24"/>
    </w:rPr>
  </w:style>
  <w:style w:type="character" w:styleId="9">
    <w:name w:val="Hyperlink"/>
    <w:basedOn w:val="8"/>
    <w:uiPriority w:val="0"/>
    <w:rPr>
      <w:u w:val="single"/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uiPriority w:val="99"/>
    <w:rPr>
      <w:rFonts w:hAnsi="Arial Unicode MS" w:eastAsia="Arial Unicode MS" w:cs="Arial Unicode MS"/>
      <w:color w:val="000000"/>
      <w:kern w:val="2"/>
      <w:sz w:val="18"/>
      <w:szCs w:val="18"/>
      <w:u w:val="none" w:color="000000"/>
      <w:lang w:eastAsia="en-US"/>
    </w:rPr>
  </w:style>
  <w:style w:type="character" w:customStyle="1" w:styleId="14">
    <w:name w:val="批注文字 Char"/>
    <w:basedOn w:val="8"/>
    <w:link w:val="3"/>
    <w:semiHidden/>
    <w:uiPriority w:val="99"/>
    <w:rPr>
      <w:rFonts w:hAnsi="Arial Unicode MS" w:eastAsia="Arial Unicode MS" w:cs="Arial Unicode MS"/>
      <w:color w:val="000000"/>
      <w:kern w:val="2"/>
      <w:sz w:val="21"/>
      <w:szCs w:val="21"/>
      <w:u w:val="none" w:color="000000"/>
      <w:lang w:eastAsia="en-US"/>
    </w:rPr>
  </w:style>
  <w:style w:type="character" w:customStyle="1" w:styleId="15">
    <w:name w:val="批注主题 Char"/>
    <w:basedOn w:val="14"/>
    <w:link w:val="2"/>
    <w:semiHidden/>
    <w:uiPriority w:val="99"/>
    <w:rPr>
      <w:rFonts w:hAnsi="Arial Unicode MS" w:eastAsia="Arial Unicode MS" w:cs="Arial Unicode MS"/>
      <w:b/>
      <w:bCs/>
      <w:color w:val="000000"/>
      <w:kern w:val="2"/>
      <w:sz w:val="21"/>
      <w:szCs w:val="21"/>
      <w:u w:val="none" w:color="000000"/>
      <w:lang w:eastAsia="en-US"/>
    </w:rPr>
  </w:style>
  <w:style w:type="table" w:customStyle="1" w:styleId="16">
    <w:name w:val="Table Normal"/>
    <w:uiPriority w:val="0"/>
    <w:tblPr>
      <w:tblStyle w:val="11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425</Words>
  <Characters>2425</Characters>
  <Lines>20</Lines>
  <Paragraphs>5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2015-01-13T05:27:00Z</dcterms:created>
  <cp:lastModifiedBy>20150126-809039-123</cp:lastModifiedBy>
  <cp:lastPrinted>2015-10-06T00:01:00Z</cp:lastPrinted>
  <dcterms:modified xsi:type="dcterms:W3CDTF">2015-10-13T05:45:03Z</dcterms:modified>
  <dc:title>2015年中国女子职业高尔夫球巡回赛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