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06" w:rsidRDefault="00B11906" w:rsidP="00B11906">
      <w:pPr>
        <w:pStyle w:val="a3"/>
        <w:widowControl/>
        <w:shd w:val="clear" w:color="auto" w:fill="FFFFFF"/>
        <w:snapToGrid w:val="0"/>
        <w:spacing w:beforeAutospacing="0" w:afterAutospacing="0" w:line="0" w:lineRule="atLeast"/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附件1</w:t>
      </w:r>
    </w:p>
    <w:p w:rsidR="00B11906" w:rsidRPr="00FB26D4" w:rsidRDefault="00B11906" w:rsidP="00B11906">
      <w:pPr>
        <w:pStyle w:val="a3"/>
        <w:widowControl/>
        <w:shd w:val="clear" w:color="auto" w:fill="FFFFFF"/>
        <w:snapToGrid w:val="0"/>
        <w:spacing w:beforeAutospacing="0" w:afterAutospacing="0" w:line="0" w:lineRule="atLeas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 w:rsidRPr="00FB26D4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2023年公开招标全国蹦床比赛和活动名录</w:t>
      </w:r>
    </w:p>
    <w:p w:rsidR="00B11906" w:rsidRPr="00FB26D4" w:rsidRDefault="00B11906" w:rsidP="00B11906">
      <w:pPr>
        <w:pStyle w:val="a3"/>
        <w:widowControl/>
        <w:shd w:val="clear" w:color="auto" w:fill="FFFFFF"/>
        <w:snapToGrid w:val="0"/>
        <w:spacing w:beforeAutospacing="0" w:afterAutospacing="0" w:line="0" w:lineRule="atLeast"/>
        <w:jc w:val="center"/>
        <w:rPr>
          <w:rStyle w:val="a4"/>
          <w:rFonts w:ascii="宋体" w:hAnsi="宋体" w:cs="宋体" w:hint="eastAsia"/>
          <w:bCs/>
          <w:color w:val="000000"/>
          <w:shd w:val="clear" w:color="auto" w:fill="FFFFFF"/>
        </w:rPr>
      </w:pPr>
    </w:p>
    <w:tbl>
      <w:tblPr>
        <w:tblpPr w:leftFromText="180" w:rightFromText="180" w:vertAnchor="text" w:horzAnchor="page" w:tblpX="907" w:tblpY="26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134"/>
        <w:gridCol w:w="1985"/>
        <w:gridCol w:w="4536"/>
        <w:gridCol w:w="3685"/>
        <w:gridCol w:w="1418"/>
      </w:tblGrid>
      <w:tr w:rsidR="00B11906" w:rsidRPr="00FB26D4" w:rsidTr="001A4CBA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赛事名称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资金投入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场馆、器械要求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其它要求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比赛类型</w:t>
            </w:r>
          </w:p>
        </w:tc>
      </w:tr>
      <w:tr w:rsidR="00B11906" w:rsidRPr="00FB26D4" w:rsidTr="001A4CBA">
        <w:tc>
          <w:tcPr>
            <w:tcW w:w="817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20</w:t>
            </w:r>
            <w:r w:rsidRPr="00FB26D4">
              <w:rPr>
                <w:rStyle w:val="a4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3年全国蹦床锦标赛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4月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总局体操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中心拨付资金</w:t>
            </w:r>
            <w:r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（预算17万）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、承办方投入、市场开发结合</w:t>
            </w:r>
          </w:p>
        </w:tc>
        <w:tc>
          <w:tcPr>
            <w:tcW w:w="4536" w:type="dxa"/>
            <w:shd w:val="clear" w:color="auto" w:fill="auto"/>
          </w:tcPr>
          <w:p w:rsidR="00B11906" w:rsidRPr="00FB26D4" w:rsidRDefault="00B11906" w:rsidP="001A4CBA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0" w:lineRule="atLeas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1、</w:t>
            </w:r>
            <w:r w:rsidRPr="00FB26D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比赛馆1个：大型蹦床比赛在体育馆内举行，木地板或塑胶地，内场大小至少40米×35米，高度至少12米。馆内应有空调和通风设备，室温控制在26摄氏度左右为宜。馆内照明良好，亮度不低于1000Lux，白天不能有阳光直射进入场地。馆内要有大型电子显示屏。场地周围应有必要的辅助用房。</w:t>
            </w:r>
          </w:p>
          <w:p w:rsidR="00B11906" w:rsidRPr="00FB26D4" w:rsidRDefault="00B11906" w:rsidP="001A4CBA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0" w:lineRule="atLeas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 w:rsidRPr="00FB26D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热身馆1个：比赛馆附近应有一片300平方米左右、高度不低于10米的热身场地，铺地板、地胶、地毯均可，供运动员赛前练习使用。热身场地和比赛场地之间的距离应在100米之内，两个场馆之间的通道要有顶棚覆盖。</w:t>
            </w:r>
          </w:p>
          <w:p w:rsidR="00B11906" w:rsidRPr="00FB26D4" w:rsidRDefault="00B11906" w:rsidP="001A4CBA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0" w:lineRule="atLeast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2、通过国际体联认证并在有效期内的器材（四张统一的标准蹦床。（如有条件，热身馆内摆放两张与比赛</w:t>
            </w:r>
            <w:proofErr w:type="gramStart"/>
            <w:r w:rsidRPr="00FB26D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馆相同</w:t>
            </w:r>
            <w:proofErr w:type="gramEnd"/>
            <w:r w:rsidRPr="00FB26D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的蹦床。如热身馆内没有安放蹦床和单跳板，则必须在热身馆内铺设地毯和体操垫，面积不得少于60平方米）</w:t>
            </w:r>
          </w:p>
        </w:tc>
        <w:tc>
          <w:tcPr>
            <w:tcW w:w="3685" w:type="dxa"/>
            <w:shd w:val="clear" w:color="auto" w:fill="auto"/>
          </w:tcPr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具备电视转播条件</w:t>
            </w:r>
          </w:p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保证决赛阶段观众上座率至少达7成</w:t>
            </w:r>
          </w:p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在赛前、赛中开展对比赛和蹦床项目的宣传、推广工作</w:t>
            </w:r>
          </w:p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4、提供能满足竞赛需求的电子计分设备和高度位移仪。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A</w:t>
            </w:r>
          </w:p>
        </w:tc>
      </w:tr>
      <w:tr w:rsidR="00B11906" w:rsidRPr="00FB26D4" w:rsidTr="001A4CBA">
        <w:tc>
          <w:tcPr>
            <w:tcW w:w="817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20</w:t>
            </w:r>
            <w:r w:rsidRPr="00FB26D4">
              <w:rPr>
                <w:rStyle w:val="a4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3年全国蹦床冠军赛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9</w:t>
            </w:r>
            <w:r w:rsidRPr="00FB26D4">
              <w:rPr>
                <w:rStyle w:val="a4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总局体操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中心拨付资金</w:t>
            </w:r>
            <w:r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（预算17万）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、承办方投入、市场开发结合</w:t>
            </w:r>
          </w:p>
        </w:tc>
        <w:tc>
          <w:tcPr>
            <w:tcW w:w="4536" w:type="dxa"/>
            <w:shd w:val="clear" w:color="auto" w:fill="auto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1、比赛馆1个：大型蹦床比赛在体育馆内举行，木地板或塑胶地，内场大小至少45米×35米，高度至少12米。馆内应有空调和通风设备，室温控制在26摄氏度左右为宜。馆内照明良好，亮度不低于1000Lux，白天不能有阳光直射进入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lastRenderedPageBreak/>
              <w:t>场地。馆内要有大型电子显示屏。场地周围应有必要的辅助用房。</w:t>
            </w:r>
          </w:p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热身馆1个：比赛馆附近应有一片300平方米左右、高度不低于10米的热身场地，铺地板、地胶、地毯均可，供运动员赛前练习使用。热身场地和比赛场地之间的距离应在100米之内，两个场馆之间的通道要有顶棚覆盖。</w:t>
            </w:r>
          </w:p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2、通过国际体联认证并在有效期内的器材（四张统一的标准蹦床和一套标准的单跳翻腾板和一套双蹦床。（如有条件，热身馆内摆放两张与比赛</w:t>
            </w: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馆相同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的蹦床和一套与比赛</w:t>
            </w: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馆相同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的单跳板，单跳板略短也可。如热身馆内没有安放蹦床和单跳板，则必须在热身馆内铺设地毯和体操垫，面积不得少于60平方米）</w:t>
            </w:r>
          </w:p>
        </w:tc>
        <w:tc>
          <w:tcPr>
            <w:tcW w:w="3685" w:type="dxa"/>
            <w:shd w:val="clear" w:color="auto" w:fill="auto"/>
          </w:tcPr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具备电视转播条件</w:t>
            </w:r>
          </w:p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2、保证决赛阶段观众上座率至少达7成</w:t>
            </w:r>
          </w:p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在赛前、赛中开展对比赛和蹦床项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目的宣传、推广工作</w:t>
            </w:r>
          </w:p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4、提供能满足竞赛需求的电子计分设备和高度位移仪。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A</w:t>
            </w:r>
          </w:p>
        </w:tc>
      </w:tr>
      <w:tr w:rsidR="00B11906" w:rsidRPr="00FB26D4" w:rsidTr="001A4CBA">
        <w:tc>
          <w:tcPr>
            <w:tcW w:w="817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20</w:t>
            </w:r>
            <w:r w:rsidRPr="00FB26D4">
              <w:rPr>
                <w:rStyle w:val="a4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3年全国蹦床青少年锦标赛及第</w:t>
            </w: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三届学青会蹦床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资格赛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7-8月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总局体操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中心拨付资金</w:t>
            </w:r>
            <w:r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（预算29万）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、承办方投入、市场开发结合</w:t>
            </w:r>
          </w:p>
        </w:tc>
        <w:tc>
          <w:tcPr>
            <w:tcW w:w="4536" w:type="dxa"/>
            <w:shd w:val="clear" w:color="auto" w:fill="auto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1、比赛馆1个：大型蹦床比赛在体育馆内举行，木地板或塑胶地，内场大小至少45米×35米，高度至少12米。馆内应有空调和通风设备，室温控制在26摄氏度左右为宜。馆内照明良好，亮度不低于1000Lux，白天不能有阳光直射进入场地。馆内要有大型电子显示屏。场地周围应有必要的辅助用房。</w:t>
            </w:r>
          </w:p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2、通过国际体联认证并在有效期内的器材（四张统一的标准蹦床、一套标准的双蹦床和一套标准的单跳翻腾板。</w:t>
            </w:r>
          </w:p>
        </w:tc>
        <w:tc>
          <w:tcPr>
            <w:tcW w:w="3685" w:type="dxa"/>
            <w:shd w:val="clear" w:color="auto" w:fill="auto"/>
          </w:tcPr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在赛前、赛中开展对比赛和蹦床项目的宣传、推广工作</w:t>
            </w:r>
          </w:p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对比赛进行转播（省市电视台转播、网络视频直播等）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B</w:t>
            </w:r>
          </w:p>
        </w:tc>
      </w:tr>
      <w:tr w:rsidR="00B11906" w:rsidRPr="00FB26D4" w:rsidTr="001A4CBA">
        <w:tc>
          <w:tcPr>
            <w:tcW w:w="817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20</w:t>
            </w:r>
            <w:r w:rsidRPr="00FB26D4">
              <w:rPr>
                <w:rStyle w:val="a4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3年全国蹦床</w:t>
            </w: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时空联赛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7-8月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总局体操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中心拨付资金</w:t>
            </w:r>
            <w:r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（预算10万）、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承办方投入、市场开发结合</w:t>
            </w:r>
          </w:p>
        </w:tc>
        <w:tc>
          <w:tcPr>
            <w:tcW w:w="4536" w:type="dxa"/>
            <w:shd w:val="clear" w:color="auto" w:fill="auto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无</w:t>
            </w:r>
          </w:p>
        </w:tc>
        <w:tc>
          <w:tcPr>
            <w:tcW w:w="3685" w:type="dxa"/>
            <w:shd w:val="clear" w:color="auto" w:fill="auto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1、提供能满足竞赛需求的电子计分设备和网络平台。</w:t>
            </w:r>
          </w:p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2、在赛前、赛中开展对比赛和蹦床项目的宣传、推广工作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C</w:t>
            </w:r>
          </w:p>
        </w:tc>
      </w:tr>
      <w:tr w:rsidR="00B11906" w:rsidRPr="00FB26D4" w:rsidTr="001A4CBA">
        <w:tc>
          <w:tcPr>
            <w:tcW w:w="817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2023年全国蹦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床体教融合比赛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11月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总局体操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中心拨付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资金</w:t>
            </w:r>
            <w:r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（预算10万）、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承办方投入、市场开发结合</w:t>
            </w:r>
          </w:p>
        </w:tc>
        <w:tc>
          <w:tcPr>
            <w:tcW w:w="4536" w:type="dxa"/>
            <w:shd w:val="clear" w:color="auto" w:fill="auto"/>
          </w:tcPr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lastRenderedPageBreak/>
              <w:t>比赛馆1个，</w:t>
            </w: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场馆须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能容纳比赛所需全部器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lastRenderedPageBreak/>
              <w:t>材并布局合理。满足比赛需要的训练场地也可作为竞赛场地的备选。</w:t>
            </w:r>
          </w:p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大众</w:t>
            </w:r>
            <w:proofErr w:type="gramStart"/>
            <w:r w:rsidRPr="00FB26D4">
              <w:rPr>
                <w:rStyle w:val="a4"/>
                <w:rFonts w:ascii="仿宋" w:eastAsia="仿宋" w:hAnsi="仿宋" w:cs="仿宋"/>
                <w:b w:val="0"/>
                <w:bCs/>
                <w:sz w:val="21"/>
                <w:szCs w:val="21"/>
                <w:shd w:val="clear" w:color="auto" w:fill="FFFFFF"/>
              </w:rPr>
              <w:t>蹦床通级器材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1套。</w:t>
            </w:r>
          </w:p>
        </w:tc>
        <w:tc>
          <w:tcPr>
            <w:tcW w:w="3685" w:type="dxa"/>
            <w:shd w:val="clear" w:color="auto" w:fill="auto"/>
          </w:tcPr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提供能满足竞赛需求的电子计分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设备和网络平台。</w:t>
            </w:r>
          </w:p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在赛前、赛中开展对比赛和蹦床项目的宣传、推广工作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C</w:t>
            </w:r>
          </w:p>
        </w:tc>
      </w:tr>
      <w:tr w:rsidR="00B11906" w:rsidRPr="00FB26D4" w:rsidTr="001A4CBA">
        <w:tc>
          <w:tcPr>
            <w:tcW w:w="817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2023年全国蹦床青少年训练营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待定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总局体操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中心拨付资金</w:t>
            </w:r>
            <w:r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（预算40万）</w:t>
            </w: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、承办方政府部门投入、市场开发结合</w:t>
            </w:r>
          </w:p>
        </w:tc>
        <w:tc>
          <w:tcPr>
            <w:tcW w:w="4536" w:type="dxa"/>
            <w:shd w:val="clear" w:color="auto" w:fill="auto"/>
          </w:tcPr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训练馆1个，</w:t>
            </w: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场馆须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能容纳教学训练所需全部器材并布局合理。</w:t>
            </w:r>
          </w:p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教室1个，能容纳100人左右。</w:t>
            </w:r>
          </w:p>
        </w:tc>
        <w:tc>
          <w:tcPr>
            <w:tcW w:w="3685" w:type="dxa"/>
            <w:shd w:val="clear" w:color="auto" w:fill="auto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both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C</w:t>
            </w:r>
          </w:p>
        </w:tc>
      </w:tr>
      <w:tr w:rsidR="00B11906" w:rsidRPr="00FB26D4" w:rsidTr="001A4CBA">
        <w:tc>
          <w:tcPr>
            <w:tcW w:w="817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2023年全国蹦床初、中、高级教练员岗位培训班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待定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承办方投入、市场开发结合</w:t>
            </w:r>
          </w:p>
        </w:tc>
        <w:tc>
          <w:tcPr>
            <w:tcW w:w="4536" w:type="dxa"/>
            <w:shd w:val="clear" w:color="auto" w:fill="auto"/>
          </w:tcPr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beforeAutospacing="0" w:afterAutospacing="0"/>
              <w:ind w:left="360" w:hanging="36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训练馆1个，</w:t>
            </w:r>
            <w:proofErr w:type="gramStart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场馆须</w:t>
            </w:r>
            <w:proofErr w:type="gramEnd"/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能容纳教学训练所需全部器材并布局合理。</w:t>
            </w:r>
          </w:p>
          <w:p w:rsidR="00B11906" w:rsidRPr="00FB26D4" w:rsidRDefault="00B11906" w:rsidP="00B11906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sz w:val="21"/>
                <w:szCs w:val="21"/>
                <w:shd w:val="clear" w:color="auto" w:fill="FFFFFF"/>
              </w:rPr>
              <w:t>教室1个，能容纳200人左右。</w:t>
            </w:r>
          </w:p>
        </w:tc>
        <w:tc>
          <w:tcPr>
            <w:tcW w:w="3685" w:type="dxa"/>
            <w:shd w:val="clear" w:color="auto" w:fill="auto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1906" w:rsidRPr="00FB26D4" w:rsidRDefault="00B11906" w:rsidP="001A4CBA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26D4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C</w:t>
            </w:r>
          </w:p>
        </w:tc>
      </w:tr>
    </w:tbl>
    <w:p w:rsidR="00B11906" w:rsidRPr="00FB26D4" w:rsidRDefault="00B11906" w:rsidP="00B11906">
      <w:pPr>
        <w:pStyle w:val="a3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 w:rsidRPr="00FB26D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B11906" w:rsidRDefault="00B11906" w:rsidP="00B11906">
      <w:pPr>
        <w:pStyle w:val="a3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 w:rsidRPr="00FB26D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备注</w:t>
      </w:r>
      <w:r w:rsidRPr="00FB26D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：</w:t>
      </w:r>
      <w:r w:rsidRPr="00FB26D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 w:rsidRPr="00FB26D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年全国蹦床比赛和活动名录中</w:t>
      </w:r>
      <w:r w:rsidRPr="00FB26D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所列各项</w:t>
      </w:r>
      <w:r w:rsidRPr="00FB26D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赛事和活动</w:t>
      </w:r>
      <w:r w:rsidRPr="00FB26D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的名称、时间</w:t>
      </w:r>
      <w:r w:rsidRPr="00FB26D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、场馆器械要求及其他条件</w:t>
      </w:r>
      <w:r w:rsidRPr="00FB26D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可能会根据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实际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情况</w:t>
      </w:r>
      <w:r w:rsidRPr="00FB26D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进行调整</w:t>
      </w:r>
      <w:r w:rsidRPr="00FB26D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AD5F65" w:rsidRPr="00B11906" w:rsidRDefault="00AD5F65">
      <w:bookmarkStart w:id="0" w:name="_GoBack"/>
      <w:bookmarkEnd w:id="0"/>
    </w:p>
    <w:sectPr w:rsidR="00AD5F65" w:rsidRPr="00B11906">
      <w:pgSz w:w="16838" w:h="11906" w:orient="landscape"/>
      <w:pgMar w:top="1417" w:right="1474" w:bottom="1417" w:left="1417" w:header="851" w:footer="992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3DA54"/>
    <w:multiLevelType w:val="singleLevel"/>
    <w:tmpl w:val="B7F3DA54"/>
    <w:lvl w:ilvl="0">
      <w:start w:val="1"/>
      <w:numFmt w:val="decimal"/>
      <w:suff w:val="nothing"/>
      <w:lvlText w:val="%1、"/>
      <w:lvlJc w:val="left"/>
    </w:lvl>
  </w:abstractNum>
  <w:abstractNum w:abstractNumId="1">
    <w:nsid w:val="C1FC54BE"/>
    <w:multiLevelType w:val="singleLevel"/>
    <w:tmpl w:val="C1FC54BE"/>
    <w:lvl w:ilvl="0">
      <w:start w:val="1"/>
      <w:numFmt w:val="decimal"/>
      <w:suff w:val="nothing"/>
      <w:lvlText w:val="%1、"/>
      <w:lvlJc w:val="left"/>
    </w:lvl>
  </w:abstractNum>
  <w:abstractNum w:abstractNumId="2">
    <w:nsid w:val="0326060E"/>
    <w:multiLevelType w:val="multilevel"/>
    <w:tmpl w:val="0326060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5134D3"/>
    <w:multiLevelType w:val="hybridMultilevel"/>
    <w:tmpl w:val="ABE87702"/>
    <w:lvl w:ilvl="0" w:tplc="4036B6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05463B"/>
    <w:multiLevelType w:val="multilevel"/>
    <w:tmpl w:val="1F05463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C443F7"/>
    <w:multiLevelType w:val="singleLevel"/>
    <w:tmpl w:val="23C443F7"/>
    <w:lvl w:ilvl="0">
      <w:start w:val="1"/>
      <w:numFmt w:val="decimal"/>
      <w:suff w:val="nothing"/>
      <w:lvlText w:val="%1、"/>
      <w:lvlJc w:val="left"/>
    </w:lvl>
  </w:abstractNum>
  <w:abstractNum w:abstractNumId="6">
    <w:nsid w:val="46556052"/>
    <w:multiLevelType w:val="multilevel"/>
    <w:tmpl w:val="465560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D921DF"/>
    <w:multiLevelType w:val="singleLevel"/>
    <w:tmpl w:val="64D921D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6"/>
    <w:rsid w:val="00AD5F65"/>
    <w:rsid w:val="00B1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190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B1190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190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B119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miya</cp:lastModifiedBy>
  <cp:revision>1</cp:revision>
  <dcterms:created xsi:type="dcterms:W3CDTF">2023-02-16T07:00:00Z</dcterms:created>
  <dcterms:modified xsi:type="dcterms:W3CDTF">2023-02-16T07:00:00Z</dcterms:modified>
</cp:coreProperties>
</file>