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5E" w:rsidRDefault="0035325E" w:rsidP="0035325E">
      <w:pPr>
        <w:spacing w:line="560" w:lineRule="exact"/>
        <w:rPr>
          <w:rFonts w:ascii="仿宋" w:eastAsia="仿宋" w:hAnsi="仿宋" w:cs="仿宋"/>
          <w:b/>
          <w:sz w:val="36"/>
          <w:szCs w:val="36"/>
        </w:rPr>
      </w:pPr>
      <w:r w:rsidRPr="00536E67">
        <w:rPr>
          <w:rFonts w:ascii="仿宋" w:eastAsia="仿宋" w:hAnsi="仿宋" w:cs="仿宋" w:hint="eastAsia"/>
          <w:b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sz w:val="30"/>
          <w:szCs w:val="30"/>
        </w:rPr>
        <w:t>1</w:t>
      </w:r>
      <w:r w:rsidRPr="00536E67">
        <w:rPr>
          <w:rFonts w:ascii="仿宋" w:eastAsia="仿宋" w:hAnsi="仿宋" w:cs="仿宋" w:hint="eastAsia"/>
          <w:b/>
          <w:sz w:val="36"/>
          <w:szCs w:val="36"/>
        </w:rPr>
        <w:t xml:space="preserve">      </w:t>
      </w:r>
    </w:p>
    <w:p w:rsidR="0035325E" w:rsidRDefault="0035325E" w:rsidP="0035325E">
      <w:pPr>
        <w:widowControl/>
        <w:ind w:firstLineChars="1100" w:firstLine="352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2022年</w:t>
      </w:r>
      <w:r w:rsidRPr="00CD6A28">
        <w:rPr>
          <w:rFonts w:ascii="黑体" w:eastAsia="黑体" w:hAnsi="宋体" w:hint="eastAsia"/>
          <w:sz w:val="32"/>
          <w:szCs w:val="32"/>
        </w:rPr>
        <w:t>国家蹦床</w:t>
      </w:r>
      <w:proofErr w:type="gramStart"/>
      <w:r w:rsidRPr="00CD6A28">
        <w:rPr>
          <w:rFonts w:ascii="黑体" w:eastAsia="黑体" w:hAnsi="宋体" w:hint="eastAsia"/>
          <w:sz w:val="32"/>
          <w:szCs w:val="32"/>
        </w:rPr>
        <w:t>队</w:t>
      </w:r>
      <w:r>
        <w:rPr>
          <w:rFonts w:ascii="黑体" w:eastAsia="黑体" w:hAnsi="宋体" w:hint="eastAsia"/>
          <w:sz w:val="32"/>
          <w:szCs w:val="32"/>
        </w:rPr>
        <w:t>科技</w:t>
      </w:r>
      <w:proofErr w:type="gramEnd"/>
      <w:r w:rsidRPr="00CD6A28">
        <w:rPr>
          <w:rFonts w:ascii="黑体" w:eastAsia="黑体" w:hAnsi="宋体" w:hint="eastAsia"/>
          <w:sz w:val="32"/>
          <w:szCs w:val="32"/>
        </w:rPr>
        <w:t>服务</w:t>
      </w:r>
      <w:r>
        <w:rPr>
          <w:rFonts w:ascii="黑体" w:eastAsia="黑体" w:hAnsi="宋体" w:hint="eastAsia"/>
          <w:sz w:val="32"/>
          <w:szCs w:val="32"/>
        </w:rPr>
        <w:t>需求</w:t>
      </w:r>
    </w:p>
    <w:tbl>
      <w:tblPr>
        <w:tblW w:w="13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110"/>
        <w:gridCol w:w="6379"/>
        <w:gridCol w:w="3402"/>
      </w:tblGrid>
      <w:tr w:rsidR="0035325E" w:rsidTr="00017EF9">
        <w:trPr>
          <w:trHeight w:val="285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35325E" w:rsidRDefault="0035325E" w:rsidP="00017E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0" w:type="dxa"/>
            <w:shd w:val="clear" w:color="auto" w:fill="auto"/>
            <w:noWrap/>
            <w:vAlign w:val="center"/>
          </w:tcPr>
          <w:p w:rsidR="0035325E" w:rsidRDefault="0035325E" w:rsidP="00017E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5325E" w:rsidRDefault="0035325E" w:rsidP="00017E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项目需求 </w:t>
            </w:r>
          </w:p>
        </w:tc>
        <w:tc>
          <w:tcPr>
            <w:tcW w:w="3402" w:type="dxa"/>
          </w:tcPr>
          <w:p w:rsidR="0035325E" w:rsidRDefault="0035325E" w:rsidP="00017E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承接人要求</w:t>
            </w:r>
          </w:p>
        </w:tc>
      </w:tr>
      <w:tr w:rsidR="0035325E" w:rsidRPr="006D51A0" w:rsidTr="00017EF9">
        <w:trPr>
          <w:trHeight w:val="1699"/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5325E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35325E" w:rsidRPr="004021B8" w:rsidRDefault="0035325E" w:rsidP="00017EF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21B8">
              <w:rPr>
                <w:rFonts w:ascii="宋体" w:hAnsi="宋体" w:cs="宋体" w:hint="eastAsia"/>
                <w:color w:val="000000"/>
                <w:kern w:val="0"/>
                <w:sz w:val="24"/>
              </w:rPr>
              <w:t>多学科复合型医疗服务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5325E" w:rsidRDefault="0035325E" w:rsidP="0001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（1）定期进行生化机能检测、评估与分析，并提出建议方案；</w:t>
            </w:r>
          </w:p>
          <w:p w:rsidR="0035325E" w:rsidRDefault="0035325E" w:rsidP="0001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（2）对运动性贫血、失眠进行诊断并制定治疗方案；</w:t>
            </w:r>
          </w:p>
          <w:p w:rsidR="0035325E" w:rsidRDefault="0035325E" w:rsidP="0001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（3）对运动员进行心理咨询并制定疏导方案；</w:t>
            </w:r>
          </w:p>
          <w:p w:rsidR="0035325E" w:rsidRDefault="0035325E" w:rsidP="0001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（4）对运动日常饮食营养进行监测、评估，并提出合理饮食建议方案。</w:t>
            </w:r>
          </w:p>
        </w:tc>
        <w:tc>
          <w:tcPr>
            <w:tcW w:w="3402" w:type="dxa"/>
          </w:tcPr>
          <w:p w:rsidR="0035325E" w:rsidRDefault="0035325E" w:rsidP="0001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有为国家蹦床队、专业蹦床队或者其它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难美项目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服务的经历和经验，能与国家队保持密切有效沟通，有随队服务实践经验者优先。</w:t>
            </w:r>
          </w:p>
        </w:tc>
      </w:tr>
      <w:tr w:rsidR="0035325E" w:rsidRPr="006D51A0" w:rsidTr="00017EF9">
        <w:trPr>
          <w:trHeight w:val="1699"/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5325E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35325E" w:rsidRPr="004021B8" w:rsidRDefault="0035325E" w:rsidP="00017EF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21B8">
              <w:rPr>
                <w:rFonts w:ascii="宋体" w:hAnsi="宋体" w:cs="宋体" w:hint="eastAsia"/>
                <w:color w:val="000000"/>
                <w:kern w:val="0"/>
                <w:sz w:val="24"/>
              </w:rPr>
              <w:t>运动损伤防治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5325E" w:rsidRPr="006E0935" w:rsidRDefault="0035325E" w:rsidP="00017EF9">
            <w:pPr>
              <w:pStyle w:val="a3"/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对运动员的伤病进行会诊并制定治疗方案。</w:t>
            </w:r>
          </w:p>
        </w:tc>
        <w:tc>
          <w:tcPr>
            <w:tcW w:w="3402" w:type="dxa"/>
          </w:tcPr>
          <w:p w:rsidR="0035325E" w:rsidRDefault="0035325E" w:rsidP="0001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有为国家蹦床队、专业蹦床队或者其它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难美项目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服务的经历和经验，能与国家队保持密切有效沟通，有随队服务实践经验者优先。</w:t>
            </w:r>
          </w:p>
        </w:tc>
      </w:tr>
      <w:tr w:rsidR="0035325E" w:rsidRPr="006D51A0" w:rsidTr="00017EF9">
        <w:trPr>
          <w:trHeight w:val="1699"/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5325E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021B8" w:rsidRDefault="0035325E" w:rsidP="00017EF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21B8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国家蹦床队运动员体能</w:t>
            </w:r>
          </w:p>
          <w:p w:rsidR="0035325E" w:rsidRPr="004021B8" w:rsidRDefault="0035325E" w:rsidP="00017EF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021B8">
              <w:rPr>
                <w:rFonts w:ascii="宋体" w:hAnsi="宋体" w:cs="宋体" w:hint="eastAsia"/>
                <w:color w:val="000000"/>
                <w:kern w:val="0"/>
                <w:sz w:val="24"/>
              </w:rPr>
              <w:t>康复服务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5325E" w:rsidRPr="001236A7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36A7">
              <w:rPr>
                <w:rFonts w:ascii="宋体" w:hAnsi="宋体" w:cs="宋体" w:hint="eastAsia"/>
                <w:color w:val="000000"/>
                <w:kern w:val="0"/>
                <w:sz w:val="24"/>
              </w:rPr>
              <w:t>（1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Pr="001236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国家蹦床队重点运动员的体能带训，强化专项体能，具体按照国家队带训教练要求，进行阶段性调整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35325E" w:rsidRPr="00CE6298" w:rsidRDefault="0035325E" w:rsidP="00017EF9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</w:t>
            </w:r>
            <w:r w:rsidRPr="001236A7">
              <w:rPr>
                <w:rFonts w:ascii="宋体" w:hAnsi="宋体" w:cs="宋体" w:hint="eastAsia"/>
                <w:color w:val="000000"/>
                <w:kern w:val="0"/>
                <w:sz w:val="24"/>
              </w:rPr>
              <w:t>针对性解决相关运动性损伤的康复治疗，具体根据队员的身体变化进行阶段性调整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 w:rsidRPr="00CE629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35325E" w:rsidRPr="00CE6298" w:rsidRDefault="0035325E" w:rsidP="00017EF9">
            <w:pPr>
              <w:pStyle w:val="a3"/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62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（3）</w:t>
            </w:r>
            <w:r w:rsidRPr="001236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每月专家四人次巡诊</w:t>
            </w:r>
            <w:r w:rsidRPr="00CE62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5325E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6298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CE6298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Pr="001236A7">
              <w:rPr>
                <w:rFonts w:ascii="宋体" w:hAnsi="宋体" w:cs="宋体" w:hint="eastAsia"/>
                <w:color w:val="000000"/>
                <w:kern w:val="0"/>
                <w:sz w:val="24"/>
              </w:rPr>
              <w:t>两名</w:t>
            </w:r>
            <w:r w:rsidRPr="00F06698">
              <w:rPr>
                <w:rFonts w:ascii="宋体" w:hAnsi="宋体" w:cs="宋体" w:hint="eastAsia"/>
                <w:color w:val="000000"/>
                <w:kern w:val="0"/>
                <w:sz w:val="24"/>
              </w:rPr>
              <w:t>体能教练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或</w:t>
            </w:r>
            <w:r w:rsidRPr="00F06698">
              <w:rPr>
                <w:rFonts w:ascii="宋体" w:hAnsi="宋体" w:cs="宋体" w:hint="eastAsia"/>
                <w:color w:val="000000"/>
                <w:kern w:val="0"/>
                <w:sz w:val="24"/>
              </w:rPr>
              <w:t>康复师</w:t>
            </w:r>
            <w:r w:rsidRPr="001236A7">
              <w:rPr>
                <w:rFonts w:ascii="宋体" w:hAnsi="宋体" w:cs="宋体" w:hint="eastAsia"/>
                <w:color w:val="000000"/>
                <w:kern w:val="0"/>
                <w:sz w:val="24"/>
              </w:rPr>
              <w:t>随队服务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1236A7">
              <w:rPr>
                <w:rFonts w:ascii="宋体" w:hAnsi="宋体" w:cs="宋体" w:hint="eastAsia"/>
                <w:color w:val="000000"/>
                <w:kern w:val="0"/>
                <w:sz w:val="24"/>
              </w:rPr>
              <w:t>随队服务期间食宿费、交通费、人员工资等所有费用由承接单位负担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3402" w:type="dxa"/>
            <w:vAlign w:val="center"/>
          </w:tcPr>
          <w:p w:rsidR="0035325E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6698">
              <w:rPr>
                <w:rFonts w:ascii="宋体" w:hAnsi="宋体" w:cs="宋体" w:hint="eastAsia"/>
                <w:color w:val="000000"/>
                <w:kern w:val="0"/>
                <w:sz w:val="24"/>
              </w:rPr>
              <w:t>体能教练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或</w:t>
            </w:r>
            <w:r w:rsidRPr="00F06698">
              <w:rPr>
                <w:rFonts w:ascii="宋体" w:hAnsi="宋体" w:cs="宋体" w:hint="eastAsia"/>
                <w:color w:val="000000"/>
                <w:kern w:val="0"/>
                <w:sz w:val="24"/>
              </w:rPr>
              <w:t>康复师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要求身体健康，无传染疾病；有随队服务实践经验者优先；近三年内有在省市专业运动队或国家队提供类似服务的优先考虑。</w:t>
            </w:r>
          </w:p>
        </w:tc>
      </w:tr>
      <w:tr w:rsidR="0035325E" w:rsidRPr="006D51A0" w:rsidTr="00017EF9">
        <w:trPr>
          <w:trHeight w:val="1699"/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5325E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35325E" w:rsidRDefault="0035325E" w:rsidP="00017E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21B8">
              <w:rPr>
                <w:rFonts w:ascii="宋体" w:hAnsi="宋体" w:cs="宋体" w:hint="eastAsia"/>
                <w:color w:val="000000"/>
                <w:kern w:val="0"/>
                <w:sz w:val="24"/>
              </w:rPr>
              <w:t>新奥运周期各国主力选手备战信息与应对策略研究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5325E" w:rsidRPr="000678E9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</w:t>
            </w:r>
            <w:r w:rsidRPr="000678E9">
              <w:rPr>
                <w:rFonts w:ascii="宋体" w:hAnsi="宋体" w:cs="宋体" w:hint="eastAsia"/>
                <w:color w:val="000000"/>
                <w:kern w:val="0"/>
                <w:sz w:val="24"/>
              </w:rPr>
              <w:t>及时更新各国主力选手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训练比赛</w:t>
            </w:r>
            <w:r w:rsidRPr="000678E9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信息；</w:t>
            </w:r>
          </w:p>
          <w:p w:rsidR="0035325E" w:rsidRPr="000678E9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</w:t>
            </w:r>
            <w:r w:rsidRPr="000678E9">
              <w:rPr>
                <w:rFonts w:ascii="宋体" w:hAnsi="宋体" w:cs="宋体" w:hint="eastAsia"/>
                <w:color w:val="000000"/>
                <w:kern w:val="0"/>
                <w:sz w:val="24"/>
              </w:rPr>
              <w:t>对主要对手的技术指标进行分析；</w:t>
            </w:r>
          </w:p>
          <w:p w:rsidR="0035325E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（3）将主要对手与</w:t>
            </w:r>
            <w:r w:rsidRPr="000678E9">
              <w:rPr>
                <w:rFonts w:ascii="宋体" w:hAnsi="宋体" w:cs="宋体" w:hint="eastAsia"/>
                <w:color w:val="000000"/>
                <w:kern w:val="0"/>
                <w:sz w:val="24"/>
              </w:rPr>
              <w:t>我国奥运会备战选手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进行比较分析，</w:t>
            </w:r>
            <w:r w:rsidRPr="000678E9">
              <w:rPr>
                <w:rFonts w:ascii="宋体" w:hAnsi="宋体" w:cs="宋体" w:hint="eastAsia"/>
                <w:color w:val="000000"/>
                <w:kern w:val="0"/>
                <w:sz w:val="24"/>
              </w:rPr>
              <w:t>寻求应对策略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35325E" w:rsidRPr="000678E9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</w:t>
            </w:r>
            <w:r w:rsidRPr="000678E9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分析国家蹦床队重点队员存在的关键技术问题，明确备战方向；</w:t>
            </w:r>
          </w:p>
          <w:p w:rsidR="0035325E" w:rsidRPr="000678E9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E9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0678E9">
              <w:rPr>
                <w:rFonts w:ascii="宋体" w:hAnsi="宋体" w:cs="宋体" w:hint="eastAsia"/>
                <w:color w:val="000000"/>
                <w:kern w:val="0"/>
                <w:sz w:val="24"/>
              </w:rPr>
              <w:t>）随时更新国家蹦床队数据库</w:t>
            </w:r>
          </w:p>
        </w:tc>
        <w:tc>
          <w:tcPr>
            <w:tcW w:w="3402" w:type="dxa"/>
            <w:vAlign w:val="center"/>
          </w:tcPr>
          <w:p w:rsidR="0035325E" w:rsidRPr="00E501F2" w:rsidRDefault="0035325E" w:rsidP="0001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有为国家蹦床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</w:rPr>
              <w:t>队、专业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</w:rPr>
              <w:t>队或者其它</w:t>
            </w:r>
            <w:proofErr w:type="gramStart"/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</w:rPr>
              <w:t>难美项目</w:t>
            </w:r>
            <w:proofErr w:type="gramEnd"/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服务的经历和经验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，能与国家队保持密切有效沟通，具备掌握国际蹦床发展动态的能力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5325E" w:rsidRPr="00F06698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要求承担课题组具有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蹦床项目从业经历成员和具备国际级蹦床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裁判员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及以上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资质的成员，能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通过统计分析训练比赛技术数据为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运动员提供参考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和建议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35325E" w:rsidRPr="006D51A0" w:rsidTr="00017EF9">
        <w:trPr>
          <w:trHeight w:val="1699"/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35325E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35325E" w:rsidRDefault="0035325E" w:rsidP="00017E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21B8">
              <w:rPr>
                <w:rFonts w:ascii="宋体" w:hAnsi="宋体" w:cs="宋体" w:hint="eastAsia"/>
                <w:color w:val="000000"/>
                <w:kern w:val="0"/>
                <w:sz w:val="24"/>
              </w:rPr>
              <w:t>新奥运周期国际规则变化与应对策略研究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5325E" w:rsidRPr="00C54CD6" w:rsidRDefault="0035325E" w:rsidP="0035325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4CD6">
              <w:rPr>
                <w:rFonts w:ascii="宋体" w:hAnsi="宋体" w:cs="宋体" w:hint="eastAsia"/>
                <w:color w:val="000000"/>
                <w:kern w:val="0"/>
                <w:sz w:val="24"/>
              </w:rPr>
              <w:t>对新奥运周期国际新规则进行分析研究；</w:t>
            </w:r>
          </w:p>
          <w:p w:rsidR="0035325E" w:rsidRPr="00C54CD6" w:rsidRDefault="0035325E" w:rsidP="0035325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分析规则变化及其带来的影响</w:t>
            </w:r>
            <w:r w:rsidRPr="00C54CD6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35325E" w:rsidRPr="001236A7" w:rsidRDefault="0035325E" w:rsidP="00017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（3）为应对规则变化应采取的改进措施，包括但不限于国内竞赛规则和国际比赛选拔体系等。</w:t>
            </w:r>
          </w:p>
        </w:tc>
        <w:tc>
          <w:tcPr>
            <w:tcW w:w="3402" w:type="dxa"/>
            <w:vAlign w:val="center"/>
          </w:tcPr>
          <w:p w:rsidR="0035325E" w:rsidRPr="00F06698" w:rsidRDefault="0035325E" w:rsidP="00017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要求承担课题组具有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具备国家级蹦床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裁判员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及以上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资质的成员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及在蹦床项目一线执教的成员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35325E" w:rsidRDefault="0035325E" w:rsidP="0035325E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F5F89" w:rsidRPr="0035325E" w:rsidRDefault="007F5F89"/>
    <w:sectPr w:rsidR="007F5F89" w:rsidRPr="0035325E" w:rsidSect="003532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477AE"/>
    <w:multiLevelType w:val="hybridMultilevel"/>
    <w:tmpl w:val="CF56C3EE"/>
    <w:lvl w:ilvl="0" w:tplc="7D14EA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E"/>
    <w:rsid w:val="0035325E"/>
    <w:rsid w:val="004021B8"/>
    <w:rsid w:val="007F5F89"/>
    <w:rsid w:val="00A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33D0"/>
  <w15:docId w15:val="{32BBE266-ADB7-4D70-8EDD-5C61CE1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5E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833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lenovo</cp:lastModifiedBy>
  <cp:revision>3</cp:revision>
  <dcterms:created xsi:type="dcterms:W3CDTF">2022-02-24T06:56:00Z</dcterms:created>
  <dcterms:modified xsi:type="dcterms:W3CDTF">2022-02-24T07:15:00Z</dcterms:modified>
</cp:coreProperties>
</file>