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FAE8F">
      <w:pPr>
        <w:keepNext w:val="0"/>
        <w:keepLines w:val="0"/>
        <w:pageBreakBefore w:val="0"/>
        <w:widowControl w:val="0"/>
        <w:kinsoku/>
        <w:wordWrap/>
        <w:overflowPunct/>
        <w:topLinePunct w:val="0"/>
        <w:autoSpaceDE/>
        <w:autoSpaceDN/>
        <w:bidi w:val="0"/>
        <w:adjustRightInd/>
        <w:spacing w:line="560" w:lineRule="exact"/>
        <w:ind w:firstLine="643" w:firstLineChars="200"/>
        <w:jc w:val="center"/>
        <w:rPr>
          <w:rFonts w:hint="eastAsia" w:ascii="仿宋" w:hAnsi="仿宋" w:eastAsia="仿宋" w:cs="仿宋"/>
          <w:b/>
          <w:bCs/>
          <w:sz w:val="32"/>
          <w:szCs w:val="32"/>
        </w:rPr>
      </w:pPr>
    </w:p>
    <w:p w14:paraId="0840C167">
      <w:pPr>
        <w:keepNext w:val="0"/>
        <w:keepLines w:val="0"/>
        <w:pageBreakBefore w:val="0"/>
        <w:widowControl w:val="0"/>
        <w:kinsoku/>
        <w:wordWrap/>
        <w:overflowPunct/>
        <w:topLinePunct w:val="0"/>
        <w:autoSpaceDE/>
        <w:autoSpaceDN/>
        <w:bidi w:val="0"/>
        <w:adjustRightInd/>
        <w:spacing w:line="560" w:lineRule="exact"/>
        <w:ind w:firstLine="643" w:firstLineChars="200"/>
        <w:jc w:val="center"/>
        <w:rPr>
          <w:rFonts w:hint="eastAsia" w:ascii="仿宋" w:hAnsi="仿宋" w:eastAsia="仿宋" w:cs="仿宋"/>
          <w:b/>
          <w:bCs/>
          <w:sz w:val="32"/>
          <w:szCs w:val="32"/>
        </w:rPr>
      </w:pPr>
    </w:p>
    <w:p w14:paraId="0E86650A">
      <w:pPr>
        <w:keepNext w:val="0"/>
        <w:keepLines w:val="0"/>
        <w:pageBreakBefore w:val="0"/>
        <w:widowControl w:val="0"/>
        <w:kinsoku/>
        <w:wordWrap/>
        <w:overflowPunct/>
        <w:topLinePunct w:val="0"/>
        <w:autoSpaceDE/>
        <w:autoSpaceDN/>
        <w:bidi w:val="0"/>
        <w:adjustRightInd/>
        <w:spacing w:line="560" w:lineRule="exact"/>
        <w:ind w:firstLine="643" w:firstLineChars="200"/>
        <w:jc w:val="center"/>
        <w:rPr>
          <w:rFonts w:hint="eastAsia" w:ascii="仿宋" w:hAnsi="仿宋" w:eastAsia="仿宋" w:cs="仿宋"/>
          <w:b/>
          <w:bCs/>
          <w:sz w:val="32"/>
          <w:szCs w:val="32"/>
        </w:rPr>
      </w:pPr>
    </w:p>
    <w:p w14:paraId="4671E7B8">
      <w:pPr>
        <w:keepNext w:val="0"/>
        <w:keepLines w:val="0"/>
        <w:pageBreakBefore w:val="0"/>
        <w:widowControl w:val="0"/>
        <w:kinsoku/>
        <w:wordWrap/>
        <w:overflowPunct/>
        <w:topLinePunct w:val="0"/>
        <w:autoSpaceDE/>
        <w:autoSpaceDN/>
        <w:bidi w:val="0"/>
        <w:adjustRightInd/>
        <w:spacing w:line="560" w:lineRule="exact"/>
        <w:ind w:firstLine="643" w:firstLineChars="200"/>
        <w:jc w:val="center"/>
        <w:rPr>
          <w:rFonts w:hint="eastAsia" w:ascii="仿宋" w:hAnsi="仿宋" w:eastAsia="仿宋" w:cs="仿宋"/>
          <w:b/>
          <w:bCs/>
          <w:sz w:val="32"/>
          <w:szCs w:val="32"/>
        </w:rPr>
      </w:pPr>
    </w:p>
    <w:p w14:paraId="1C680C33">
      <w:pPr>
        <w:keepNext w:val="0"/>
        <w:keepLines w:val="0"/>
        <w:pageBreakBefore w:val="0"/>
        <w:widowControl w:val="0"/>
        <w:kinsoku/>
        <w:wordWrap/>
        <w:overflowPunct/>
        <w:topLinePunct w:val="0"/>
        <w:autoSpaceDE/>
        <w:autoSpaceDN/>
        <w:bidi w:val="0"/>
        <w:adjustRightInd/>
        <w:spacing w:line="560" w:lineRule="exact"/>
        <w:ind w:firstLine="643" w:firstLineChars="200"/>
        <w:jc w:val="center"/>
        <w:rPr>
          <w:rFonts w:hint="eastAsia" w:ascii="仿宋" w:hAnsi="仿宋" w:eastAsia="仿宋" w:cs="仿宋"/>
          <w:b/>
          <w:bCs/>
          <w:sz w:val="32"/>
          <w:szCs w:val="32"/>
        </w:rPr>
      </w:pPr>
    </w:p>
    <w:p w14:paraId="63A47442">
      <w:pPr>
        <w:keepNext w:val="0"/>
        <w:keepLines w:val="0"/>
        <w:pageBreakBefore w:val="0"/>
        <w:widowControl w:val="0"/>
        <w:kinsoku/>
        <w:wordWrap/>
        <w:overflowPunct/>
        <w:topLinePunct w:val="0"/>
        <w:autoSpaceDE/>
        <w:autoSpaceDN/>
        <w:bidi w:val="0"/>
        <w:adjustRightInd/>
        <w:spacing w:line="560" w:lineRule="exact"/>
        <w:ind w:firstLine="643" w:firstLineChars="200"/>
        <w:jc w:val="center"/>
        <w:rPr>
          <w:rFonts w:hint="eastAsia" w:ascii="仿宋" w:hAnsi="仿宋" w:eastAsia="仿宋" w:cs="仿宋"/>
          <w:b/>
          <w:bCs/>
          <w:sz w:val="32"/>
          <w:szCs w:val="32"/>
        </w:rPr>
      </w:pPr>
    </w:p>
    <w:p w14:paraId="13FCF030">
      <w:pPr>
        <w:keepNext w:val="0"/>
        <w:keepLines w:val="0"/>
        <w:pageBreakBefore w:val="0"/>
        <w:widowControl w:val="0"/>
        <w:kinsoku/>
        <w:wordWrap/>
        <w:overflowPunct/>
        <w:topLinePunct w:val="0"/>
        <w:autoSpaceDE/>
        <w:autoSpaceDN/>
        <w:bidi w:val="0"/>
        <w:adjustRightInd/>
        <w:spacing w:line="560" w:lineRule="exact"/>
        <w:ind w:firstLine="643" w:firstLineChars="200"/>
        <w:jc w:val="center"/>
        <w:rPr>
          <w:rFonts w:hint="eastAsia" w:ascii="仿宋" w:hAnsi="仿宋" w:eastAsia="仿宋" w:cs="仿宋"/>
          <w:b/>
          <w:bCs/>
          <w:sz w:val="32"/>
          <w:szCs w:val="32"/>
        </w:rPr>
      </w:pPr>
    </w:p>
    <w:p w14:paraId="6518A75A">
      <w:pPr>
        <w:keepNext w:val="0"/>
        <w:keepLines w:val="0"/>
        <w:pageBreakBefore w:val="0"/>
        <w:widowControl w:val="0"/>
        <w:kinsoku/>
        <w:wordWrap/>
        <w:overflowPunct/>
        <w:topLinePunct w:val="0"/>
        <w:autoSpaceDE/>
        <w:autoSpaceDN/>
        <w:bidi w:val="0"/>
        <w:adjustRightInd/>
        <w:spacing w:line="560" w:lineRule="exact"/>
        <w:ind w:firstLine="643" w:firstLineChars="200"/>
        <w:jc w:val="center"/>
        <w:rPr>
          <w:rFonts w:hint="eastAsia" w:ascii="仿宋" w:hAnsi="仿宋" w:eastAsia="仿宋" w:cs="仿宋"/>
          <w:b/>
          <w:bCs/>
          <w:sz w:val="32"/>
          <w:szCs w:val="32"/>
        </w:rPr>
      </w:pPr>
    </w:p>
    <w:p w14:paraId="4A179CCF">
      <w:pPr>
        <w:spacing w:before="139" w:line="223" w:lineRule="auto"/>
        <w:jc w:val="center"/>
        <w:outlineLvl w:val="0"/>
        <w:rPr>
          <w:rFonts w:hint="eastAsia" w:ascii="宋体" w:hAnsi="宋体" w:cs="宋体" w:eastAsiaTheme="minorEastAsia"/>
          <w:b/>
          <w:bCs/>
          <w:sz w:val="36"/>
          <w:szCs w:val="36"/>
          <w:lang w:eastAsia="zh-CN"/>
        </w:rPr>
      </w:pPr>
      <w:bookmarkStart w:id="0" w:name="_Toc28074"/>
      <w:bookmarkStart w:id="1" w:name="_Toc22155"/>
      <w:bookmarkStart w:id="2" w:name="_Toc15022"/>
      <w:bookmarkStart w:id="3" w:name="_Toc4211"/>
      <w:bookmarkStart w:id="4" w:name="_Toc24021"/>
      <w:bookmarkStart w:id="5" w:name="_Toc11876"/>
      <w:bookmarkStart w:id="6" w:name="_Toc12459"/>
      <w:bookmarkStart w:id="7" w:name="_Toc10774"/>
      <w:r>
        <w:rPr>
          <w:rFonts w:hint="eastAsia" w:ascii="宋体" w:hAnsi="宋体" w:cs="宋体"/>
          <w:b/>
          <w:bCs/>
          <w:spacing w:val="3"/>
          <w:sz w:val="36"/>
          <w:szCs w:val="36"/>
          <w:lang w:val="en-US" w:eastAsia="zh-CN"/>
        </w:rPr>
        <w:t>卡</w:t>
      </w:r>
      <w:r>
        <w:rPr>
          <w:rFonts w:hint="eastAsia" w:ascii="宋体" w:hAnsi="宋体" w:cs="宋体"/>
          <w:b/>
          <w:bCs/>
          <w:spacing w:val="3"/>
          <w:sz w:val="36"/>
          <w:szCs w:val="36"/>
        </w:rPr>
        <w:t>巴迪</w:t>
      </w:r>
      <w:bookmarkEnd w:id="0"/>
      <w:bookmarkEnd w:id="1"/>
      <w:bookmarkEnd w:id="2"/>
      <w:bookmarkEnd w:id="3"/>
      <w:bookmarkEnd w:id="4"/>
      <w:bookmarkEnd w:id="5"/>
      <w:bookmarkEnd w:id="6"/>
      <w:bookmarkEnd w:id="7"/>
      <w:r>
        <w:rPr>
          <w:rFonts w:hint="eastAsia" w:ascii="宋体" w:hAnsi="宋体" w:cs="宋体"/>
          <w:b/>
          <w:bCs/>
          <w:spacing w:val="3"/>
          <w:sz w:val="36"/>
          <w:szCs w:val="36"/>
          <w:lang w:eastAsia="zh-CN"/>
        </w:rPr>
        <w:t>比赛参赛指引</w:t>
      </w:r>
    </w:p>
    <w:p w14:paraId="15C59507">
      <w:pPr>
        <w:spacing w:line="223" w:lineRule="auto"/>
        <w:rPr>
          <w:rFonts w:ascii="宋体" w:hAnsi="宋体" w:cs="宋体"/>
          <w:sz w:val="43"/>
          <w:szCs w:val="43"/>
        </w:rPr>
      </w:pPr>
    </w:p>
    <w:p w14:paraId="3B71FC22">
      <w:pPr>
        <w:spacing w:line="223" w:lineRule="auto"/>
        <w:rPr>
          <w:rFonts w:ascii="宋体" w:hAnsi="宋体" w:cs="宋体"/>
          <w:sz w:val="43"/>
          <w:szCs w:val="43"/>
        </w:rPr>
      </w:pPr>
    </w:p>
    <w:p w14:paraId="5EAB6A8C">
      <w:pPr>
        <w:spacing w:line="223" w:lineRule="auto"/>
        <w:rPr>
          <w:rFonts w:ascii="宋体" w:hAnsi="宋体" w:cs="宋体"/>
          <w:sz w:val="43"/>
          <w:szCs w:val="43"/>
        </w:rPr>
      </w:pPr>
    </w:p>
    <w:p w14:paraId="639CC790">
      <w:pPr>
        <w:spacing w:line="223" w:lineRule="auto"/>
        <w:rPr>
          <w:rFonts w:ascii="宋体" w:hAnsi="宋体" w:cs="宋体"/>
          <w:sz w:val="43"/>
          <w:szCs w:val="43"/>
        </w:rPr>
      </w:pPr>
    </w:p>
    <w:p w14:paraId="145C7575">
      <w:pPr>
        <w:spacing w:line="223" w:lineRule="auto"/>
        <w:rPr>
          <w:rFonts w:ascii="宋体" w:hAnsi="宋体" w:cs="宋体"/>
          <w:sz w:val="43"/>
          <w:szCs w:val="43"/>
        </w:rPr>
      </w:pPr>
    </w:p>
    <w:p w14:paraId="0C810408">
      <w:pPr>
        <w:spacing w:line="223" w:lineRule="auto"/>
        <w:rPr>
          <w:rFonts w:ascii="宋体" w:hAnsi="宋体" w:cs="宋体"/>
          <w:sz w:val="43"/>
          <w:szCs w:val="43"/>
        </w:rPr>
      </w:pPr>
    </w:p>
    <w:p w14:paraId="574B3E38">
      <w:pPr>
        <w:spacing w:line="223" w:lineRule="auto"/>
        <w:rPr>
          <w:rFonts w:ascii="宋体" w:hAnsi="宋体" w:cs="宋体"/>
          <w:sz w:val="43"/>
          <w:szCs w:val="43"/>
        </w:rPr>
      </w:pPr>
    </w:p>
    <w:p w14:paraId="4522EAA3">
      <w:pPr>
        <w:spacing w:line="223" w:lineRule="auto"/>
        <w:rPr>
          <w:rFonts w:ascii="宋体" w:hAnsi="宋体" w:cs="宋体"/>
          <w:sz w:val="43"/>
          <w:szCs w:val="43"/>
        </w:rPr>
      </w:pPr>
    </w:p>
    <w:p w14:paraId="7DA9AF46">
      <w:pPr>
        <w:spacing w:line="223" w:lineRule="auto"/>
        <w:rPr>
          <w:rFonts w:ascii="宋体" w:hAnsi="宋体" w:cs="宋体"/>
          <w:sz w:val="43"/>
          <w:szCs w:val="43"/>
        </w:rPr>
      </w:pPr>
    </w:p>
    <w:p w14:paraId="5767D16E">
      <w:pPr>
        <w:spacing w:line="223" w:lineRule="auto"/>
        <w:rPr>
          <w:rFonts w:ascii="宋体" w:hAnsi="宋体" w:cs="宋体"/>
          <w:sz w:val="43"/>
          <w:szCs w:val="43"/>
        </w:rPr>
      </w:pPr>
    </w:p>
    <w:p w14:paraId="55D7A8D4">
      <w:pPr>
        <w:spacing w:line="223" w:lineRule="auto"/>
        <w:rPr>
          <w:rFonts w:ascii="宋体" w:hAnsi="宋体" w:cs="宋体"/>
          <w:sz w:val="43"/>
          <w:szCs w:val="43"/>
        </w:rPr>
      </w:pPr>
    </w:p>
    <w:p w14:paraId="2685F8B6">
      <w:pPr>
        <w:spacing w:line="223" w:lineRule="auto"/>
        <w:rPr>
          <w:rFonts w:ascii="宋体" w:hAnsi="宋体" w:cs="宋体"/>
          <w:sz w:val="43"/>
          <w:szCs w:val="43"/>
        </w:rPr>
      </w:pPr>
    </w:p>
    <w:p w14:paraId="5F2766F1">
      <w:pPr>
        <w:spacing w:line="223" w:lineRule="auto"/>
        <w:rPr>
          <w:rFonts w:ascii="宋体" w:hAnsi="宋体" w:cs="宋体"/>
          <w:sz w:val="43"/>
          <w:szCs w:val="43"/>
        </w:rPr>
      </w:pPr>
    </w:p>
    <w:p w14:paraId="7C693D02">
      <w:pPr>
        <w:spacing w:line="223" w:lineRule="auto"/>
        <w:rPr>
          <w:rFonts w:ascii="宋体" w:hAnsi="宋体" w:cs="宋体"/>
          <w:sz w:val="43"/>
          <w:szCs w:val="43"/>
        </w:rPr>
      </w:pPr>
    </w:p>
    <w:p w14:paraId="5E267CA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 w:hAnsi="仿宋" w:eastAsia="仿宋" w:cs="仿宋"/>
          <w:b w:val="0"/>
          <w:bCs w:val="0"/>
          <w:sz w:val="13"/>
          <w:szCs w:val="13"/>
          <w:lang w:eastAsia="zh-CN"/>
        </w:rPr>
      </w:pPr>
      <w:r>
        <w:rPr>
          <w:rFonts w:hint="eastAsia" w:ascii="仿宋" w:hAnsi="仿宋" w:eastAsia="仿宋" w:cs="仿宋"/>
          <w:b/>
          <w:bCs/>
          <w:sz w:val="32"/>
          <w:szCs w:val="32"/>
        </w:rPr>
        <w:t>全国卡巴迪比赛参赛指引</w:t>
      </w:r>
    </w:p>
    <w:p w14:paraId="2B7C526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eastAsia="zh-CN"/>
        </w:rPr>
        <w:t>第一章</w:t>
      </w:r>
      <w:r>
        <w:rPr>
          <w:rFonts w:hint="eastAsia" w:ascii="仿宋" w:hAnsi="仿宋" w:eastAsia="仿宋" w:cs="仿宋"/>
          <w:b/>
          <w:bCs/>
          <w:sz w:val="28"/>
          <w:szCs w:val="28"/>
          <w:lang w:val="en-US" w:eastAsia="zh-CN"/>
        </w:rPr>
        <w:t xml:space="preserve"> 概述</w:t>
      </w:r>
    </w:p>
    <w:p w14:paraId="69953DA6">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《卡巴迪</w:t>
      </w:r>
      <w:r>
        <w:rPr>
          <w:rFonts w:hint="eastAsia" w:ascii="仿宋" w:hAnsi="仿宋" w:eastAsia="仿宋" w:cs="仿宋"/>
          <w:sz w:val="28"/>
          <w:szCs w:val="28"/>
          <w:lang w:eastAsia="zh-CN"/>
        </w:rPr>
        <w:t>比赛</w:t>
      </w:r>
      <w:r>
        <w:rPr>
          <w:rFonts w:hint="eastAsia" w:ascii="仿宋" w:hAnsi="仿宋" w:eastAsia="仿宋" w:cs="仿宋"/>
          <w:sz w:val="28"/>
          <w:szCs w:val="28"/>
        </w:rPr>
        <w:t>参赛指引》是指参加卡巴迪赛事必须了解的事项，包括</w:t>
      </w:r>
      <w:r>
        <w:rPr>
          <w:rFonts w:hint="eastAsia" w:ascii="仿宋" w:hAnsi="仿宋" w:eastAsia="仿宋" w:cs="仿宋"/>
          <w:color w:val="auto"/>
          <w:sz w:val="28"/>
          <w:szCs w:val="28"/>
        </w:rPr>
        <w:t>赛前准备、赛中、赛后的注意事项和评估</w:t>
      </w:r>
      <w:r>
        <w:rPr>
          <w:rFonts w:hint="eastAsia" w:ascii="仿宋" w:hAnsi="仿宋" w:eastAsia="仿宋" w:cs="仿宋"/>
          <w:color w:val="auto"/>
          <w:sz w:val="28"/>
          <w:szCs w:val="28"/>
          <w:lang w:eastAsia="zh-CN"/>
        </w:rPr>
        <w:t>活动</w:t>
      </w:r>
      <w:r>
        <w:rPr>
          <w:rFonts w:hint="eastAsia" w:ascii="仿宋" w:hAnsi="仿宋" w:eastAsia="仿宋" w:cs="仿宋"/>
          <w:color w:val="auto"/>
          <w:sz w:val="28"/>
          <w:szCs w:val="28"/>
        </w:rPr>
        <w:t>。为了推动我国卡巴迪运动的规范化发展，加快与世界卡巴迪运动接轨，保证</w:t>
      </w:r>
      <w:r>
        <w:rPr>
          <w:rFonts w:hint="eastAsia" w:ascii="仿宋" w:hAnsi="仿宋" w:eastAsia="仿宋" w:cs="仿宋"/>
          <w:color w:val="auto"/>
          <w:sz w:val="28"/>
          <w:szCs w:val="28"/>
          <w:lang w:val="en-US" w:eastAsia="zh-CN"/>
        </w:rPr>
        <w:t>卡巴迪比赛</w:t>
      </w:r>
      <w:r>
        <w:rPr>
          <w:rFonts w:hint="eastAsia" w:ascii="仿宋" w:hAnsi="仿宋" w:eastAsia="仿宋" w:cs="仿宋"/>
          <w:color w:val="auto"/>
          <w:sz w:val="28"/>
          <w:szCs w:val="28"/>
        </w:rPr>
        <w:t>公平</w:t>
      </w:r>
      <w:r>
        <w:rPr>
          <w:rFonts w:hint="eastAsia" w:ascii="仿宋" w:hAnsi="仿宋" w:eastAsia="仿宋" w:cs="仿宋"/>
          <w:sz w:val="28"/>
          <w:szCs w:val="28"/>
        </w:rPr>
        <w:t>顺利地进行，使其更好地为全民健身事业和构建社会主义和谐社会服务，特制定本指引。</w:t>
      </w:r>
    </w:p>
    <w:p w14:paraId="17B95080">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本指引中所包含的部分事项不适用于国际赛事。</w:t>
      </w:r>
    </w:p>
    <w:p w14:paraId="5AB21EF6">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baseline"/>
        <w:rPr>
          <w:rFonts w:hint="eastAsia" w:ascii="仿宋" w:hAnsi="仿宋" w:eastAsia="仿宋" w:cs="仿宋"/>
          <w:sz w:val="28"/>
          <w:szCs w:val="28"/>
          <w:lang w:val="en-US" w:eastAsia="zh-CN"/>
        </w:rPr>
      </w:pPr>
    </w:p>
    <w:p w14:paraId="6D9295E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eastAsia="zh-CN"/>
        </w:rPr>
        <w:t>第二章</w:t>
      </w:r>
      <w:r>
        <w:rPr>
          <w:rFonts w:hint="eastAsia" w:ascii="仿宋" w:hAnsi="仿宋" w:eastAsia="仿宋" w:cs="仿宋"/>
          <w:b/>
          <w:bCs/>
          <w:sz w:val="28"/>
          <w:szCs w:val="28"/>
          <w:lang w:val="en-US" w:eastAsia="zh-CN"/>
        </w:rPr>
        <w:t xml:space="preserve"> 赛前</w:t>
      </w:r>
    </w:p>
    <w:p w14:paraId="124540E9">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一、报名工作</w:t>
      </w:r>
    </w:p>
    <w:p w14:paraId="117DC303">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（一）可通过</w:t>
      </w:r>
      <w:r>
        <w:rPr>
          <w:rFonts w:hint="eastAsia" w:ascii="仿宋" w:hAnsi="仿宋" w:eastAsia="仿宋" w:cs="仿宋"/>
          <w:sz w:val="28"/>
          <w:szCs w:val="28"/>
          <w:lang w:eastAsia="zh-CN"/>
        </w:rPr>
        <w:t>国家体育总局社会体育指导中心（以下简称“社体中心”）官网</w:t>
      </w:r>
      <w:r>
        <w:rPr>
          <w:rFonts w:hint="eastAsia" w:ascii="仿宋" w:hAnsi="仿宋" w:eastAsia="仿宋" w:cs="仿宋"/>
          <w:sz w:val="28"/>
          <w:szCs w:val="28"/>
        </w:rPr>
        <w:t>获得相关赛事的年度竞赛计划。</w:t>
      </w:r>
    </w:p>
    <w:p w14:paraId="056A95B5">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rPr>
      </w:pPr>
      <w:r>
        <w:rPr>
          <w:rFonts w:hint="eastAsia" w:ascii="仿宋" w:hAnsi="仿宋" w:eastAsia="仿宋" w:cs="仿宋"/>
          <w:bCs/>
          <w:sz w:val="28"/>
          <w:szCs w:val="28"/>
          <w:lang w:eastAsia="zh-CN"/>
        </w:rPr>
        <w:t>（二）</w:t>
      </w:r>
      <w:r>
        <w:rPr>
          <w:rFonts w:hint="eastAsia" w:ascii="仿宋" w:hAnsi="仿宋" w:eastAsia="仿宋" w:cs="仿宋"/>
          <w:bCs/>
          <w:sz w:val="28"/>
          <w:szCs w:val="28"/>
        </w:rPr>
        <w:t>阅读竞赛规程</w:t>
      </w:r>
    </w:p>
    <w:p w14:paraId="3B18EC41">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认真阅读</w:t>
      </w:r>
      <w:r>
        <w:rPr>
          <w:rFonts w:hint="eastAsia" w:ascii="仿宋" w:hAnsi="仿宋" w:eastAsia="仿宋" w:cs="仿宋"/>
          <w:sz w:val="28"/>
          <w:szCs w:val="28"/>
        </w:rPr>
        <w:t>竞赛规程，</w:t>
      </w:r>
      <w:r>
        <w:rPr>
          <w:rFonts w:hint="eastAsia" w:ascii="仿宋" w:hAnsi="仿宋" w:eastAsia="仿宋" w:cs="仿宋"/>
          <w:sz w:val="28"/>
          <w:szCs w:val="28"/>
          <w:lang w:eastAsia="zh-CN"/>
        </w:rPr>
        <w:t>竞赛规程是组委会举办比赛的纲领性文件，主要包括</w:t>
      </w:r>
      <w:r>
        <w:rPr>
          <w:rFonts w:hint="eastAsia" w:ascii="仿宋" w:hAnsi="仿宋" w:eastAsia="仿宋" w:cs="仿宋"/>
          <w:sz w:val="28"/>
          <w:szCs w:val="28"/>
        </w:rPr>
        <w:t>竞赛名称、主办</w:t>
      </w:r>
      <w:r>
        <w:rPr>
          <w:rFonts w:hint="eastAsia" w:ascii="仿宋" w:hAnsi="仿宋" w:eastAsia="仿宋" w:cs="仿宋"/>
          <w:sz w:val="28"/>
          <w:szCs w:val="28"/>
          <w:lang w:eastAsia="zh-CN"/>
        </w:rPr>
        <w:t>单位</w:t>
      </w:r>
      <w:r>
        <w:rPr>
          <w:rFonts w:hint="eastAsia" w:ascii="仿宋" w:hAnsi="仿宋" w:eastAsia="仿宋" w:cs="仿宋"/>
          <w:sz w:val="28"/>
          <w:szCs w:val="28"/>
        </w:rPr>
        <w:t>、承办</w:t>
      </w:r>
      <w:r>
        <w:rPr>
          <w:rFonts w:hint="eastAsia" w:ascii="仿宋" w:hAnsi="仿宋" w:eastAsia="仿宋" w:cs="仿宋"/>
          <w:sz w:val="28"/>
          <w:szCs w:val="28"/>
          <w:lang w:eastAsia="zh-CN"/>
        </w:rPr>
        <w:t>单位</w:t>
      </w:r>
      <w:r>
        <w:rPr>
          <w:rFonts w:hint="eastAsia" w:ascii="仿宋" w:hAnsi="仿宋" w:eastAsia="仿宋" w:cs="仿宋"/>
          <w:sz w:val="28"/>
          <w:szCs w:val="28"/>
        </w:rPr>
        <w:t>、协办单位</w:t>
      </w:r>
      <w:r>
        <w:rPr>
          <w:rFonts w:hint="eastAsia" w:ascii="仿宋" w:hAnsi="仿宋" w:eastAsia="仿宋" w:cs="仿宋"/>
          <w:sz w:val="28"/>
          <w:szCs w:val="28"/>
          <w:lang w:eastAsia="zh-CN"/>
        </w:rPr>
        <w:t>、</w:t>
      </w:r>
      <w:r>
        <w:rPr>
          <w:rFonts w:hint="eastAsia" w:ascii="仿宋" w:hAnsi="仿宋" w:eastAsia="仿宋" w:cs="仿宋"/>
          <w:sz w:val="28"/>
          <w:szCs w:val="28"/>
        </w:rPr>
        <w:t>举办时间</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举办</w:t>
      </w:r>
      <w:r>
        <w:rPr>
          <w:rFonts w:hint="eastAsia" w:ascii="仿宋" w:hAnsi="仿宋" w:eastAsia="仿宋" w:cs="仿宋"/>
          <w:sz w:val="28"/>
          <w:szCs w:val="28"/>
        </w:rPr>
        <w:t>地点、竞赛项目</w:t>
      </w:r>
      <w:r>
        <w:rPr>
          <w:rFonts w:hint="eastAsia" w:ascii="仿宋" w:hAnsi="仿宋" w:eastAsia="仿宋" w:cs="仿宋"/>
          <w:sz w:val="28"/>
          <w:szCs w:val="28"/>
          <w:lang w:eastAsia="zh-CN"/>
        </w:rPr>
        <w:t>、</w:t>
      </w:r>
      <w:r>
        <w:rPr>
          <w:rFonts w:hint="eastAsia" w:ascii="仿宋" w:hAnsi="仿宋" w:eastAsia="仿宋" w:cs="仿宋"/>
          <w:sz w:val="28"/>
          <w:szCs w:val="28"/>
        </w:rPr>
        <w:t>竞赛办法、参赛办法、奖励办法等，以及赛事组织方的特殊要求。</w:t>
      </w:r>
    </w:p>
    <w:p w14:paraId="5F7847CF">
      <w:pPr>
        <w:keepNext w:val="0"/>
        <w:keepLines w:val="0"/>
        <w:pageBreakBefore w:val="0"/>
        <w:widowControl w:val="0"/>
        <w:kinsoku/>
        <w:wordWrap/>
        <w:overflowPunct/>
        <w:topLinePunct w:val="0"/>
        <w:autoSpaceDE/>
        <w:autoSpaceDN/>
        <w:bidi w:val="0"/>
        <w:adjustRightInd/>
        <w:spacing w:line="560" w:lineRule="exact"/>
        <w:ind w:firstLine="420" w:firstLineChars="200"/>
        <w:jc w:val="left"/>
        <w:textAlignment w:val="auto"/>
        <w:rPr>
          <w:rFonts w:hint="eastAsia" w:ascii="仿宋" w:hAnsi="仿宋" w:eastAsia="仿宋" w:cs="仿宋"/>
          <w:sz w:val="28"/>
          <w:szCs w:val="28"/>
        </w:rPr>
      </w:pPr>
      <w:r>
        <w:rPr>
          <w:rFonts w:hint="eastAsia"/>
          <w:lang w:val="en-US" w:eastAsia="zh-CN"/>
        </w:rPr>
        <w:t xml:space="preserve"> </w:t>
      </w:r>
      <w:r>
        <w:rPr>
          <w:rFonts w:hint="eastAsia" w:ascii="仿宋" w:hAnsi="仿宋" w:eastAsia="仿宋" w:cs="仿宋"/>
          <w:sz w:val="28"/>
          <w:szCs w:val="28"/>
          <w:lang w:eastAsia="zh-CN"/>
        </w:rPr>
        <w:t>要注意以下四方面的信息</w:t>
      </w:r>
      <w:r>
        <w:rPr>
          <w:rFonts w:hint="eastAsia" w:ascii="仿宋" w:hAnsi="仿宋" w:eastAsia="仿宋" w:cs="仿宋"/>
          <w:sz w:val="28"/>
          <w:szCs w:val="28"/>
        </w:rPr>
        <w:t>：</w:t>
      </w:r>
    </w:p>
    <w:p w14:paraId="7BAE50D5">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1.食宿费是否由大会组委会统一安排、提前离会是否退费。</w:t>
      </w:r>
    </w:p>
    <w:p w14:paraId="7C3074EB">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2.是否需要缴纳参赛</w:t>
      </w:r>
      <w:r>
        <w:rPr>
          <w:rFonts w:hint="eastAsia" w:ascii="仿宋" w:hAnsi="仿宋" w:eastAsia="仿宋" w:cs="仿宋"/>
          <w:sz w:val="28"/>
          <w:szCs w:val="28"/>
          <w:lang w:eastAsia="zh-CN"/>
        </w:rPr>
        <w:t>服务</w:t>
      </w:r>
      <w:r>
        <w:rPr>
          <w:rFonts w:hint="eastAsia" w:ascii="仿宋" w:hAnsi="仿宋" w:eastAsia="仿宋" w:cs="仿宋"/>
          <w:sz w:val="28"/>
          <w:szCs w:val="28"/>
        </w:rPr>
        <w:t>费。</w:t>
      </w:r>
    </w:p>
    <w:p w14:paraId="2B15399C">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3.赛事对于人身意外伤害保险、体检证明、自愿参赛责任书的相应要求。</w:t>
      </w:r>
    </w:p>
    <w:p w14:paraId="06C59DEA">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.赛事的主办、承办单位。不同级别、不同规格的赛事主办、承办单位会对赛事有不同影响，关系赛事服务质量、参赛安全等事项，应提前了解并进行评估。</w:t>
      </w:r>
    </w:p>
    <w:p w14:paraId="0DF9194D">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（三）提交报名信息</w:t>
      </w:r>
    </w:p>
    <w:p w14:paraId="2A84E9B0">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确定要参加比赛的，</w:t>
      </w:r>
      <w:r>
        <w:rPr>
          <w:rFonts w:hint="eastAsia" w:ascii="仿宋" w:hAnsi="仿宋" w:eastAsia="仿宋" w:cs="仿宋"/>
          <w:sz w:val="28"/>
          <w:szCs w:val="28"/>
        </w:rPr>
        <w:t>填写报名表（附件1），并依据报名的人数及参赛项目，做好参赛经费预算（包含食宿费、交通费、保险费等）</w:t>
      </w:r>
      <w:r>
        <w:rPr>
          <w:rFonts w:hint="eastAsia" w:ascii="仿宋" w:hAnsi="仿宋" w:eastAsia="仿宋" w:cs="仿宋"/>
          <w:sz w:val="28"/>
          <w:szCs w:val="28"/>
          <w:lang w:eastAsia="zh-CN"/>
        </w:rPr>
        <w:t>。按照竞赛规程要求将报名表加盖单位公章的扫描件发送至社体中心指定电子邮箱，并将纸质版报名表原件报到时交给组委会。</w:t>
      </w:r>
    </w:p>
    <w:p w14:paraId="24B28DE9">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2.报名表中一般会要求填写1-2人的联系方式，请确保表格中填写的联系人电话畅通，避免出现提交表格后沟通不畅等情况的出现。</w:t>
      </w:r>
    </w:p>
    <w:p w14:paraId="4BC2D86F">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val="en-US" w:eastAsia="zh-CN"/>
        </w:rPr>
        <w:t>3.收到组委会回复的参赛队伍</w:t>
      </w:r>
      <w:r>
        <w:rPr>
          <w:rFonts w:hint="eastAsia" w:ascii="仿宋" w:hAnsi="仿宋" w:eastAsia="仿宋" w:cs="仿宋"/>
          <w:sz w:val="28"/>
          <w:szCs w:val="28"/>
        </w:rPr>
        <w:t>组织参赛</w:t>
      </w:r>
      <w:r>
        <w:rPr>
          <w:rFonts w:hint="eastAsia" w:ascii="仿宋" w:hAnsi="仿宋" w:eastAsia="仿宋" w:cs="仿宋"/>
          <w:sz w:val="28"/>
          <w:szCs w:val="28"/>
          <w:lang w:eastAsia="zh-CN"/>
        </w:rPr>
        <w:t>运动员</w:t>
      </w:r>
      <w:r>
        <w:rPr>
          <w:rFonts w:hint="eastAsia" w:ascii="仿宋" w:hAnsi="仿宋" w:eastAsia="仿宋" w:cs="仿宋"/>
          <w:sz w:val="28"/>
          <w:szCs w:val="28"/>
        </w:rPr>
        <w:t>到有资质的正规医疗机构进行体检</w:t>
      </w:r>
      <w:r>
        <w:rPr>
          <w:rFonts w:hint="eastAsia" w:ascii="仿宋" w:hAnsi="仿宋" w:eastAsia="仿宋" w:cs="仿宋"/>
          <w:sz w:val="28"/>
          <w:szCs w:val="28"/>
          <w:lang w:eastAsia="zh-CN"/>
        </w:rPr>
        <w:t>（三级以上医院出具的</w:t>
      </w:r>
      <w:r>
        <w:rPr>
          <w:rFonts w:hint="eastAsia" w:ascii="仿宋" w:hAnsi="仿宋" w:eastAsia="仿宋" w:cs="仿宋"/>
          <w:sz w:val="28"/>
          <w:szCs w:val="28"/>
          <w:lang w:val="en-US" w:eastAsia="zh-CN"/>
        </w:rPr>
        <w:t>10天内的体检报告</w:t>
      </w:r>
      <w:r>
        <w:rPr>
          <w:rFonts w:hint="eastAsia" w:ascii="仿宋" w:hAnsi="仿宋" w:eastAsia="仿宋" w:cs="仿宋"/>
          <w:sz w:val="28"/>
          <w:szCs w:val="28"/>
          <w:lang w:eastAsia="zh-CN"/>
        </w:rPr>
        <w:t>）</w:t>
      </w:r>
      <w:r>
        <w:rPr>
          <w:rFonts w:hint="eastAsia" w:ascii="仿宋" w:hAnsi="仿宋" w:eastAsia="仿宋" w:cs="仿宋"/>
          <w:sz w:val="28"/>
          <w:szCs w:val="28"/>
        </w:rPr>
        <w:t>，</w:t>
      </w:r>
      <w:r>
        <w:rPr>
          <w:rFonts w:hint="eastAsia" w:ascii="仿宋" w:hAnsi="仿宋" w:eastAsia="仿宋" w:cs="仿宋"/>
          <w:sz w:val="28"/>
          <w:szCs w:val="28"/>
          <w:lang w:eastAsia="zh-CN"/>
        </w:rPr>
        <w:t>办理参赛保险。</w:t>
      </w:r>
    </w:p>
    <w:p w14:paraId="41E0B5BB">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lang w:eastAsia="zh-CN"/>
        </w:rPr>
        <w:t>报名成功后将运动员</w:t>
      </w:r>
      <w:r>
        <w:rPr>
          <w:rFonts w:hint="eastAsia" w:ascii="仿宋" w:hAnsi="仿宋" w:eastAsia="仿宋" w:cs="仿宋"/>
          <w:sz w:val="28"/>
          <w:szCs w:val="28"/>
        </w:rPr>
        <w:t>照片、队伍简介发送至</w:t>
      </w:r>
      <w:r>
        <w:rPr>
          <w:rFonts w:hint="eastAsia" w:ascii="仿宋" w:hAnsi="仿宋" w:eastAsia="仿宋" w:cs="仿宋"/>
          <w:sz w:val="28"/>
          <w:szCs w:val="28"/>
          <w:lang w:eastAsia="zh-CN"/>
        </w:rPr>
        <w:t>社体中心</w:t>
      </w:r>
      <w:r>
        <w:rPr>
          <w:rFonts w:hint="eastAsia" w:ascii="仿宋" w:hAnsi="仿宋" w:eastAsia="仿宋" w:cs="仿宋"/>
          <w:sz w:val="28"/>
          <w:szCs w:val="28"/>
        </w:rPr>
        <w:t>指定电子邮箱。</w:t>
      </w:r>
    </w:p>
    <w:p w14:paraId="1125310B">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二、赛前准备</w:t>
      </w:r>
    </w:p>
    <w:p w14:paraId="075C9534">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1.认真</w:t>
      </w:r>
      <w:r>
        <w:rPr>
          <w:rFonts w:hint="eastAsia" w:ascii="仿宋" w:hAnsi="仿宋" w:eastAsia="仿宋" w:cs="仿宋"/>
          <w:sz w:val="28"/>
          <w:szCs w:val="28"/>
        </w:rPr>
        <w:t>阅读补充通知。补充通知是赛事组织方关于报到、收费等事宜的</w:t>
      </w:r>
      <w:r>
        <w:rPr>
          <w:rFonts w:hint="eastAsia" w:ascii="仿宋" w:hAnsi="仿宋" w:eastAsia="仿宋" w:cs="仿宋"/>
          <w:sz w:val="28"/>
          <w:szCs w:val="28"/>
          <w:lang w:eastAsia="zh-CN"/>
        </w:rPr>
        <w:t>补充</w:t>
      </w:r>
      <w:r>
        <w:rPr>
          <w:rFonts w:hint="eastAsia" w:ascii="仿宋" w:hAnsi="仿宋" w:eastAsia="仿宋" w:cs="仿宋"/>
          <w:sz w:val="28"/>
          <w:szCs w:val="28"/>
        </w:rPr>
        <w:t>文件，一般于赛前30天左右在</w:t>
      </w:r>
      <w:r>
        <w:rPr>
          <w:rFonts w:hint="eastAsia" w:ascii="仿宋" w:hAnsi="仿宋" w:eastAsia="仿宋" w:cs="仿宋"/>
          <w:sz w:val="28"/>
          <w:szCs w:val="28"/>
          <w:lang w:eastAsia="zh-CN"/>
        </w:rPr>
        <w:t>社体中心的</w:t>
      </w:r>
      <w:r>
        <w:rPr>
          <w:rFonts w:hint="eastAsia" w:ascii="仿宋" w:hAnsi="仿宋" w:eastAsia="仿宋" w:cs="仿宋"/>
          <w:sz w:val="28"/>
          <w:szCs w:val="28"/>
          <w:lang w:val="en-US" w:eastAsia="zh-CN"/>
        </w:rPr>
        <w:t>官网</w:t>
      </w:r>
      <w:r>
        <w:rPr>
          <w:rFonts w:hint="eastAsia" w:ascii="仿宋" w:hAnsi="仿宋" w:eastAsia="仿宋" w:cs="仿宋"/>
          <w:sz w:val="28"/>
          <w:szCs w:val="28"/>
          <w:lang w:eastAsia="zh-CN"/>
        </w:rPr>
        <w:t>上</w:t>
      </w:r>
      <w:r>
        <w:rPr>
          <w:rFonts w:hint="eastAsia" w:ascii="仿宋" w:hAnsi="仿宋" w:eastAsia="仿宋" w:cs="仿宋"/>
          <w:sz w:val="28"/>
          <w:szCs w:val="28"/>
        </w:rPr>
        <w:t>提前公布。</w:t>
      </w:r>
    </w:p>
    <w:p w14:paraId="1D710E57">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按照参赛计划，根据竞赛日程安排，制定备战训练计划，做好赛前训练，同时避免运动损伤。</w:t>
      </w:r>
    </w:p>
    <w:p w14:paraId="46FF27D7">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控制好个人饮食搭配和体重增减幅度，调整好个人的参赛状态。</w:t>
      </w:r>
    </w:p>
    <w:p w14:paraId="5F1E16A8">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按照时间节点，办理完成</w:t>
      </w:r>
      <w:r>
        <w:rPr>
          <w:rFonts w:hint="eastAsia" w:ascii="仿宋" w:hAnsi="仿宋" w:eastAsia="仿宋" w:cs="仿宋"/>
          <w:sz w:val="28"/>
          <w:szCs w:val="28"/>
          <w:lang w:eastAsia="zh-CN"/>
        </w:rPr>
        <w:t>队员的</w:t>
      </w:r>
      <w:r>
        <w:rPr>
          <w:rFonts w:hint="eastAsia" w:ascii="仿宋" w:hAnsi="仿宋" w:eastAsia="仿宋" w:cs="仿宋"/>
          <w:sz w:val="28"/>
          <w:szCs w:val="28"/>
        </w:rPr>
        <w:t>健康体检</w:t>
      </w:r>
      <w:r>
        <w:rPr>
          <w:rFonts w:hint="eastAsia" w:ascii="仿宋" w:hAnsi="仿宋" w:eastAsia="仿宋" w:cs="仿宋"/>
          <w:sz w:val="28"/>
          <w:szCs w:val="28"/>
          <w:lang w:eastAsia="zh-CN"/>
        </w:rPr>
        <w:t>报告和参赛期间队员的人身意外伤害保险（</w:t>
      </w:r>
      <w:r>
        <w:rPr>
          <w:rFonts w:hint="eastAsia" w:ascii="仿宋" w:hAnsi="仿宋" w:eastAsia="仿宋" w:cs="仿宋"/>
          <w:sz w:val="28"/>
          <w:szCs w:val="28"/>
        </w:rPr>
        <w:t>含往返赛区途中及比赛期间</w:t>
      </w:r>
      <w:r>
        <w:rPr>
          <w:rFonts w:hint="eastAsia" w:ascii="仿宋" w:hAnsi="仿宋" w:eastAsia="仿宋" w:cs="仿宋"/>
          <w:sz w:val="28"/>
          <w:szCs w:val="28"/>
          <w:lang w:eastAsia="zh-CN"/>
        </w:rPr>
        <w:t>）</w:t>
      </w:r>
      <w:r>
        <w:rPr>
          <w:rFonts w:hint="eastAsia" w:ascii="仿宋" w:hAnsi="仿宋" w:eastAsia="仿宋" w:cs="仿宋"/>
          <w:sz w:val="28"/>
          <w:szCs w:val="28"/>
        </w:rPr>
        <w:t>。</w:t>
      </w:r>
    </w:p>
    <w:p w14:paraId="044C01FD">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rPr>
          <w:rFonts w:hint="eastAsia" w:ascii="仿宋" w:hAnsi="仿宋" w:eastAsia="仿宋" w:cs="仿宋"/>
          <w:color w:val="auto"/>
          <w:sz w:val="28"/>
          <w:szCs w:val="28"/>
        </w:rPr>
      </w:pPr>
      <w:r>
        <w:rPr>
          <w:rFonts w:hint="eastAsia" w:ascii="仿宋" w:hAnsi="仿宋" w:eastAsia="仿宋" w:cs="仿宋"/>
          <w:sz w:val="28"/>
          <w:szCs w:val="28"/>
          <w:lang w:val="en-US" w:eastAsia="zh-CN"/>
        </w:rPr>
        <w:t>5.提前与大会组委会沟通</w:t>
      </w:r>
      <w:r>
        <w:rPr>
          <w:rFonts w:hint="eastAsia" w:ascii="仿宋" w:hAnsi="仿宋" w:eastAsia="仿宋" w:cs="仿宋"/>
          <w:color w:val="auto"/>
          <w:sz w:val="28"/>
          <w:szCs w:val="28"/>
          <w:lang w:eastAsia="zh-CN"/>
        </w:rPr>
        <w:t>，掌握相关信息</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预订好往返车票和住宿酒店，安排好行程。</w:t>
      </w:r>
    </w:p>
    <w:p w14:paraId="29DFAB9B">
      <w:pPr>
        <w:keepNext w:val="0"/>
        <w:keepLines w:val="0"/>
        <w:pageBreakBefore w:val="0"/>
        <w:widowControl w:val="0"/>
        <w:numPr>
          <w:ilvl w:val="0"/>
          <w:numId w:val="0"/>
        </w:numPr>
        <w:tabs>
          <w:tab w:val="left" w:pos="312"/>
        </w:tabs>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信息包括比赛地点的天气情况、是否安排接送站、住宿的设施条件（包括洗漱用品、拖鞋等）。如有特殊要求（如参赛人员的饮食有特殊要求），提前及时与组委会沟通。</w:t>
      </w:r>
    </w:p>
    <w:p w14:paraId="3CFDDF6B">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赛前一周应安排专人整理、</w:t>
      </w:r>
      <w:r>
        <w:rPr>
          <w:rFonts w:hint="eastAsia" w:ascii="仿宋" w:hAnsi="仿宋" w:eastAsia="仿宋" w:cs="仿宋"/>
          <w:sz w:val="28"/>
          <w:szCs w:val="28"/>
        </w:rPr>
        <w:t>准备好参赛所</w:t>
      </w:r>
      <w:r>
        <w:rPr>
          <w:rFonts w:hint="eastAsia" w:ascii="仿宋" w:hAnsi="仿宋" w:eastAsia="仿宋" w:cs="仿宋"/>
          <w:sz w:val="28"/>
          <w:szCs w:val="28"/>
          <w:lang w:eastAsia="zh-CN"/>
        </w:rPr>
        <w:t>必需</w:t>
      </w:r>
      <w:r>
        <w:rPr>
          <w:rFonts w:hint="eastAsia" w:ascii="仿宋" w:hAnsi="仿宋" w:eastAsia="仿宋" w:cs="仿宋"/>
          <w:sz w:val="28"/>
          <w:szCs w:val="28"/>
        </w:rPr>
        <w:t>的文件材料、服装、日常用品</w:t>
      </w:r>
      <w:r>
        <w:rPr>
          <w:rFonts w:hint="eastAsia" w:ascii="仿宋" w:hAnsi="仿宋" w:eastAsia="仿宋" w:cs="仿宋"/>
          <w:sz w:val="28"/>
          <w:szCs w:val="28"/>
          <w:lang w:eastAsia="zh-CN"/>
        </w:rPr>
        <w:t>、必备药品</w:t>
      </w:r>
      <w:r>
        <w:rPr>
          <w:rFonts w:hint="eastAsia" w:ascii="仿宋" w:hAnsi="仿宋" w:eastAsia="仿宋" w:cs="仿宋"/>
          <w:sz w:val="28"/>
          <w:szCs w:val="28"/>
        </w:rPr>
        <w:t>和个人证件等，汇总成明细单，并在出发前进行核对。</w:t>
      </w:r>
    </w:p>
    <w:p w14:paraId="07B86FFE">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7.参赛队员按照赛事等级及竞赛规定，确定是否需要提前获取赛事反兴奋剂工作的相关安排与法律法规，提前学习反兴奋剂及赛前、赛中、赛后组委会安排的药检工作流程与相关知识。要注意饮食及药品使用，食物及用药应符合反兴奋剂相关要求。</w:t>
      </w:r>
    </w:p>
    <w:p w14:paraId="73E9FC37">
      <w:pPr>
        <w:keepNext w:val="0"/>
        <w:keepLines w:val="0"/>
        <w:pageBreakBefore w:val="0"/>
        <w:widowControl w:val="0"/>
        <w:numPr>
          <w:ilvl w:val="0"/>
          <w:numId w:val="0"/>
        </w:numPr>
        <w:tabs>
          <w:tab w:val="left" w:pos="312"/>
        </w:tabs>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三、参加比赛</w:t>
      </w:r>
    </w:p>
    <w:p w14:paraId="26761203">
      <w:pPr>
        <w:keepNext w:val="0"/>
        <w:keepLines w:val="0"/>
        <w:pageBreakBefore w:val="0"/>
        <w:widowControl w:val="0"/>
        <w:numPr>
          <w:ilvl w:val="0"/>
          <w:numId w:val="0"/>
        </w:numPr>
        <w:tabs>
          <w:tab w:val="left" w:pos="312"/>
        </w:tabs>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（一）报到、适应场地</w:t>
      </w:r>
    </w:p>
    <w:p w14:paraId="4013A39C">
      <w:pPr>
        <w:keepNext w:val="0"/>
        <w:keepLines w:val="0"/>
        <w:pageBreakBefore w:val="0"/>
        <w:widowControl w:val="0"/>
        <w:numPr>
          <w:ilvl w:val="0"/>
          <w:numId w:val="0"/>
        </w:numPr>
        <w:tabs>
          <w:tab w:val="left" w:pos="312"/>
        </w:tabs>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1.到达比赛地后，应第一时间报到并缴纳参赛相关费用</w:t>
      </w:r>
      <w:r>
        <w:rPr>
          <w:rFonts w:hint="eastAsia" w:ascii="仿宋" w:hAnsi="仿宋" w:eastAsia="仿宋" w:cs="仿宋"/>
          <w:color w:val="C00000"/>
          <w:sz w:val="28"/>
          <w:szCs w:val="28"/>
          <w:lang w:val="en-US" w:eastAsia="zh-CN"/>
        </w:rPr>
        <w:t>。</w:t>
      </w:r>
    </w:p>
    <w:p w14:paraId="08CF0C8B">
      <w:pPr>
        <w:keepNext w:val="0"/>
        <w:keepLines w:val="0"/>
        <w:pageBreakBefore w:val="0"/>
        <w:widowControl w:val="0"/>
        <w:numPr>
          <w:ilvl w:val="0"/>
          <w:numId w:val="0"/>
        </w:numPr>
        <w:tabs>
          <w:tab w:val="left" w:pos="312"/>
        </w:tabs>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2.交验第二代居民身份证原件（或其他身份证件）、健康证明、保险凭证、自愿参赛责任书、参赛人员赛风赛纪和反兴奋剂承诺书及加盖单位公章（如需要）的报名表</w:t>
      </w:r>
      <w:r>
        <w:rPr>
          <w:rFonts w:hint="eastAsia" w:ascii="仿宋" w:hAnsi="仿宋" w:eastAsia="仿宋" w:cs="仿宋"/>
          <w:color w:val="C00000"/>
          <w:sz w:val="28"/>
          <w:szCs w:val="28"/>
          <w:lang w:val="en-US" w:eastAsia="zh-CN"/>
        </w:rPr>
        <w:t>。</w:t>
      </w:r>
    </w:p>
    <w:p w14:paraId="3D4C875E">
      <w:pPr>
        <w:keepNext w:val="0"/>
        <w:keepLines w:val="0"/>
        <w:pageBreakBefore w:val="0"/>
        <w:widowControl w:val="0"/>
        <w:numPr>
          <w:ilvl w:val="0"/>
          <w:numId w:val="0"/>
        </w:numPr>
        <w:tabs>
          <w:tab w:val="left" w:pos="312"/>
        </w:tabs>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3.领取参赛证、赛前训练时间表、秩序册等，了解大会活动日程安排。</w:t>
      </w:r>
    </w:p>
    <w:p w14:paraId="562B931E">
      <w:pPr>
        <w:keepNext w:val="0"/>
        <w:keepLines w:val="0"/>
        <w:pageBreakBefore w:val="0"/>
        <w:widowControl w:val="0"/>
        <w:numPr>
          <w:ilvl w:val="0"/>
          <w:numId w:val="0"/>
        </w:numPr>
        <w:tabs>
          <w:tab w:val="left" w:pos="312"/>
        </w:tabs>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4.收到秩序册当场核对秩序册是否与报名信息相符，如有问题及时反馈组委会及随队志愿者。</w:t>
      </w:r>
    </w:p>
    <w:p w14:paraId="48257BD9">
      <w:pPr>
        <w:keepNext w:val="0"/>
        <w:keepLines w:val="0"/>
        <w:pageBreakBefore w:val="0"/>
        <w:widowControl w:val="0"/>
        <w:numPr>
          <w:ilvl w:val="0"/>
          <w:numId w:val="0"/>
        </w:numPr>
        <w:tabs>
          <w:tab w:val="left" w:pos="312"/>
        </w:tabs>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对于赛事承办方提供赛事服务指南的，一定要仔细阅读，并通知队伍内各队员。</w:t>
      </w:r>
    </w:p>
    <w:p w14:paraId="135D7E42">
      <w:pPr>
        <w:keepNext w:val="0"/>
        <w:keepLines w:val="0"/>
        <w:pageBreakBefore w:val="0"/>
        <w:widowControl w:val="0"/>
        <w:numPr>
          <w:ilvl w:val="0"/>
          <w:numId w:val="1"/>
        </w:numPr>
        <w:tabs>
          <w:tab w:val="left" w:pos="312"/>
        </w:tabs>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赛前训练</w:t>
      </w:r>
    </w:p>
    <w:p w14:paraId="73F98178">
      <w:pPr>
        <w:keepNext w:val="0"/>
        <w:keepLines w:val="0"/>
        <w:pageBreakBefore w:val="0"/>
        <w:widowControl w:val="0"/>
        <w:numPr>
          <w:ilvl w:val="0"/>
          <w:numId w:val="0"/>
        </w:numPr>
        <w:tabs>
          <w:tab w:val="left" w:pos="312"/>
        </w:tabs>
        <w:kinsoku/>
        <w:wordWrap/>
        <w:overflowPunct/>
        <w:topLinePunct w:val="0"/>
        <w:autoSpaceDE/>
        <w:autoSpaceDN/>
        <w:bidi w:val="0"/>
        <w:adjustRightInd/>
        <w:spacing w:line="5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严格按照分发的赛前训练时间表组织运动员熟悉场地，如有特殊情况及时与组委会联系。</w:t>
      </w:r>
    </w:p>
    <w:p w14:paraId="64772A7F">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rPr>
      </w:pPr>
      <w:r>
        <w:rPr>
          <w:rFonts w:hint="eastAsia" w:ascii="仿宋" w:hAnsi="仿宋" w:eastAsia="仿宋" w:cs="仿宋"/>
          <w:bCs/>
          <w:sz w:val="28"/>
          <w:szCs w:val="28"/>
        </w:rPr>
        <w:t>（三）按时参加联席会议</w:t>
      </w:r>
    </w:p>
    <w:p w14:paraId="4B785774">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确认领队、教练员联席会的时间、地点并按时参加</w:t>
      </w:r>
      <w:r>
        <w:rPr>
          <w:rFonts w:hint="eastAsia" w:ascii="仿宋" w:hAnsi="仿宋" w:eastAsia="仿宋" w:cs="仿宋"/>
          <w:sz w:val="28"/>
          <w:szCs w:val="28"/>
          <w:lang w:eastAsia="zh-CN"/>
        </w:rPr>
        <w:t>；</w:t>
      </w:r>
      <w:r>
        <w:rPr>
          <w:rFonts w:hint="eastAsia" w:ascii="仿宋" w:hAnsi="仿宋" w:eastAsia="仿宋" w:cs="仿宋"/>
          <w:sz w:val="28"/>
          <w:szCs w:val="28"/>
        </w:rPr>
        <w:t>在领队、教练员联席会上，确认参赛队员名单及队员的号码并签字；比赛如有队员替换，在抽签之前进行替换，替换队员必须是本次比赛报名表中的任意一名队员；会议上，认真记录裁判长对本次比赛的各项注意事项及裁判执法尺度</w:t>
      </w:r>
      <w:r>
        <w:rPr>
          <w:rFonts w:hint="eastAsia" w:ascii="仿宋" w:hAnsi="仿宋" w:eastAsia="仿宋" w:cs="仿宋"/>
          <w:sz w:val="28"/>
          <w:szCs w:val="28"/>
          <w:lang w:eastAsia="zh-CN"/>
        </w:rPr>
        <w:t>，</w:t>
      </w:r>
      <w:r>
        <w:rPr>
          <w:rFonts w:hint="eastAsia" w:ascii="仿宋" w:hAnsi="仿宋" w:eastAsia="仿宋" w:cs="仿宋"/>
          <w:sz w:val="28"/>
          <w:szCs w:val="28"/>
        </w:rPr>
        <w:t>如有对场地</w:t>
      </w:r>
      <w:r>
        <w:rPr>
          <w:rFonts w:hint="eastAsia" w:ascii="仿宋" w:hAnsi="仿宋" w:eastAsia="仿宋" w:cs="仿宋"/>
          <w:sz w:val="28"/>
          <w:szCs w:val="28"/>
          <w:lang w:eastAsia="zh-CN"/>
        </w:rPr>
        <w:t>、技术</w:t>
      </w:r>
      <w:r>
        <w:rPr>
          <w:rFonts w:hint="eastAsia" w:ascii="仿宋" w:hAnsi="仿宋" w:eastAsia="仿宋" w:cs="仿宋"/>
          <w:sz w:val="28"/>
          <w:szCs w:val="28"/>
        </w:rPr>
        <w:t>等竞赛问题</w:t>
      </w:r>
      <w:r>
        <w:rPr>
          <w:rFonts w:hint="eastAsia" w:ascii="仿宋" w:hAnsi="仿宋" w:eastAsia="仿宋" w:cs="仿宋"/>
          <w:sz w:val="28"/>
          <w:szCs w:val="28"/>
          <w:lang w:eastAsia="zh-CN"/>
        </w:rPr>
        <w:t>须在</w:t>
      </w:r>
      <w:r>
        <w:rPr>
          <w:rFonts w:hint="eastAsia" w:ascii="仿宋" w:hAnsi="仿宋" w:eastAsia="仿宋" w:cs="仿宋"/>
          <w:sz w:val="28"/>
          <w:szCs w:val="28"/>
        </w:rPr>
        <w:t>会议上提出</w:t>
      </w:r>
      <w:r>
        <w:rPr>
          <w:rFonts w:hint="eastAsia" w:ascii="仿宋" w:hAnsi="仿宋" w:eastAsia="仿宋" w:cs="仿宋"/>
          <w:sz w:val="28"/>
          <w:szCs w:val="28"/>
          <w:lang w:eastAsia="zh-CN"/>
        </w:rPr>
        <w:t>；</w:t>
      </w:r>
      <w:r>
        <w:rPr>
          <w:rFonts w:hint="eastAsia" w:ascii="仿宋" w:hAnsi="仿宋" w:eastAsia="仿宋" w:cs="仿宋"/>
          <w:sz w:val="28"/>
          <w:szCs w:val="28"/>
        </w:rPr>
        <w:t>记录抽签结果。</w:t>
      </w:r>
    </w:p>
    <w:p w14:paraId="2A820A8F">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联席会结束后，组织队员召开赛前准备会，及时传达联席会议的精神并宣布抽签结果；强调比赛期间的各项安全事项。</w:t>
      </w:r>
    </w:p>
    <w:p w14:paraId="1F2EB5AB">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（四）称重</w:t>
      </w:r>
    </w:p>
    <w:p w14:paraId="4021C1CD">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按照竞赛规程要求，在比赛前一天进行运动员称重；教练员要熟悉掌握运动员所参加的组别要求，控制体重；了解称重规则，并按照竞赛运行时刻表的安排顺序、时间进行比赛前的称重。</w:t>
      </w:r>
    </w:p>
    <w:p w14:paraId="2B861FFD">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1.比赛开始前24小时组织参赛运动员称体重。</w:t>
      </w:r>
    </w:p>
    <w:p w14:paraId="5898E785">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2.运动员体重不符合参赛要求，可在30分钟内进行一次复检。复检不合格，不能参加比赛。</w:t>
      </w:r>
    </w:p>
    <w:p w14:paraId="5FC5E272">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3.称重检查：运动员身上衣物、鞋子可以全部脱掉进行称重。</w:t>
      </w:r>
    </w:p>
    <w:p w14:paraId="4B6AD1C0">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lang w:val="en-US" w:eastAsia="zh-CN"/>
        </w:rPr>
      </w:pPr>
    </w:p>
    <w:p w14:paraId="668E9E9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 w:hAnsi="仿宋" w:eastAsia="仿宋" w:cs="仿宋"/>
          <w:b/>
          <w:bCs/>
          <w:sz w:val="28"/>
          <w:szCs w:val="28"/>
          <w:lang w:val="en-US" w:eastAsia="zh-CN"/>
        </w:rPr>
      </w:pPr>
      <w:bookmarkStart w:id="8" w:name="_GoBack"/>
      <w:r>
        <w:rPr>
          <w:rFonts w:hint="eastAsia" w:ascii="仿宋" w:hAnsi="仿宋" w:eastAsia="仿宋" w:cs="仿宋"/>
          <w:b/>
          <w:bCs/>
          <w:sz w:val="28"/>
          <w:szCs w:val="28"/>
          <w:lang w:val="en-US" w:eastAsia="zh-CN"/>
        </w:rPr>
        <w:t>第三章 赛中</w:t>
      </w:r>
    </w:p>
    <w:bookmarkEnd w:id="8"/>
    <w:p w14:paraId="00A61D64">
      <w:pPr>
        <w:keepNext w:val="0"/>
        <w:keepLines w:val="0"/>
        <w:pageBreakBefore w:val="0"/>
        <w:widowControl w:val="0"/>
        <w:numPr>
          <w:ilvl w:val="0"/>
          <w:numId w:val="2"/>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rPr>
      </w:pPr>
      <w:r>
        <w:rPr>
          <w:rFonts w:hint="eastAsia" w:ascii="仿宋" w:hAnsi="仿宋" w:eastAsia="仿宋" w:cs="仿宋"/>
          <w:bCs/>
          <w:sz w:val="28"/>
          <w:szCs w:val="28"/>
        </w:rPr>
        <w:t>比赛期间注意事项</w:t>
      </w:r>
    </w:p>
    <w:p w14:paraId="68B4153B">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rPr>
      </w:pPr>
      <w:r>
        <w:rPr>
          <w:rFonts w:hint="eastAsia" w:ascii="仿宋" w:hAnsi="仿宋" w:eastAsia="仿宋" w:cs="仿宋"/>
          <w:bCs/>
          <w:sz w:val="28"/>
          <w:szCs w:val="28"/>
        </w:rPr>
        <w:t>（一）餐饮安全</w:t>
      </w:r>
    </w:p>
    <w:p w14:paraId="72F60F75">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赛前1个小时用餐，吃清淡易消化的食物，不要吃</w:t>
      </w:r>
      <w:r>
        <w:rPr>
          <w:rFonts w:hint="eastAsia" w:ascii="仿宋" w:hAnsi="仿宋" w:eastAsia="仿宋" w:cs="仿宋"/>
          <w:sz w:val="28"/>
          <w:szCs w:val="28"/>
          <w:lang w:val="en-US" w:eastAsia="zh-CN"/>
        </w:rPr>
        <w:t>得</w:t>
      </w:r>
      <w:r>
        <w:rPr>
          <w:rFonts w:hint="eastAsia" w:ascii="仿宋" w:hAnsi="仿宋" w:eastAsia="仿宋" w:cs="仿宋"/>
          <w:sz w:val="28"/>
          <w:szCs w:val="28"/>
        </w:rPr>
        <w:t>过饱，避免食用平时没有吃过的</w:t>
      </w:r>
      <w:r>
        <w:rPr>
          <w:rFonts w:hint="eastAsia" w:ascii="仿宋" w:hAnsi="仿宋" w:eastAsia="仿宋" w:cs="仿宋"/>
          <w:sz w:val="28"/>
          <w:szCs w:val="28"/>
          <w:lang w:val="en-US" w:eastAsia="zh-CN"/>
        </w:rPr>
        <w:t>食品</w:t>
      </w:r>
      <w:r>
        <w:rPr>
          <w:rFonts w:hint="eastAsia" w:ascii="仿宋" w:hAnsi="仿宋" w:eastAsia="仿宋" w:cs="仿宋"/>
          <w:sz w:val="28"/>
          <w:szCs w:val="28"/>
        </w:rPr>
        <w:t>，及生冷食物，防止比赛中肠胃不适。</w:t>
      </w:r>
      <w:r>
        <w:rPr>
          <w:rFonts w:hint="eastAsia" w:ascii="仿宋" w:hAnsi="仿宋" w:eastAsia="仿宋" w:cs="仿宋"/>
          <w:color w:val="auto"/>
          <w:sz w:val="28"/>
          <w:szCs w:val="28"/>
          <w:lang w:val="en-US" w:eastAsia="zh-CN"/>
        </w:rPr>
        <w:t>比赛</w:t>
      </w:r>
      <w:r>
        <w:rPr>
          <w:rFonts w:hint="eastAsia" w:ascii="仿宋" w:hAnsi="仿宋" w:eastAsia="仿宋" w:cs="仿宋"/>
          <w:sz w:val="28"/>
          <w:szCs w:val="28"/>
        </w:rPr>
        <w:t>期间避免饮酒。</w:t>
      </w:r>
    </w:p>
    <w:p w14:paraId="6C214523">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rPr>
      </w:pPr>
      <w:r>
        <w:rPr>
          <w:rFonts w:hint="eastAsia" w:ascii="仿宋" w:hAnsi="仿宋" w:eastAsia="仿宋" w:cs="仿宋"/>
          <w:bCs/>
          <w:sz w:val="28"/>
          <w:szCs w:val="28"/>
        </w:rPr>
        <w:t>（二）赛前检录</w:t>
      </w:r>
    </w:p>
    <w:p w14:paraId="5ABFD0CB">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提前阅读秩序册中的比赛安排，了解自己的赛事时间和场地，至少提前</w:t>
      </w:r>
      <w:r>
        <w:rPr>
          <w:rFonts w:hint="eastAsia" w:ascii="仿宋" w:hAnsi="仿宋" w:eastAsia="仿宋" w:cs="仿宋"/>
          <w:color w:val="auto"/>
          <w:sz w:val="28"/>
          <w:szCs w:val="28"/>
          <w:lang w:val="en-US" w:eastAsia="zh-CN"/>
        </w:rPr>
        <w:t>30</w:t>
      </w:r>
      <w:r>
        <w:rPr>
          <w:rFonts w:hint="eastAsia" w:ascii="仿宋" w:hAnsi="仿宋" w:eastAsia="仿宋" w:cs="仿宋"/>
          <w:color w:val="auto"/>
          <w:sz w:val="28"/>
          <w:szCs w:val="28"/>
        </w:rPr>
        <w:t>分钟到达</w:t>
      </w:r>
      <w:r>
        <w:rPr>
          <w:rFonts w:hint="eastAsia" w:ascii="仿宋" w:hAnsi="仿宋" w:eastAsia="仿宋" w:cs="仿宋"/>
          <w:color w:val="auto"/>
          <w:sz w:val="28"/>
          <w:szCs w:val="28"/>
          <w:lang w:val="en-US" w:eastAsia="zh-CN"/>
        </w:rPr>
        <w:t>热身</w:t>
      </w:r>
      <w:r>
        <w:rPr>
          <w:rFonts w:hint="eastAsia" w:ascii="仿宋" w:hAnsi="仿宋" w:eastAsia="仿宋" w:cs="仿宋"/>
          <w:sz w:val="28"/>
          <w:szCs w:val="28"/>
        </w:rPr>
        <w:t>场地，</w:t>
      </w:r>
      <w:r>
        <w:rPr>
          <w:rFonts w:hint="eastAsia" w:ascii="仿宋" w:hAnsi="仿宋" w:eastAsia="仿宋" w:cs="仿宋"/>
          <w:sz w:val="28"/>
          <w:szCs w:val="28"/>
          <w:lang w:eastAsia="zh-CN"/>
        </w:rPr>
        <w:t>提前上好厕所，</w:t>
      </w:r>
      <w:r>
        <w:rPr>
          <w:rFonts w:hint="eastAsia" w:ascii="仿宋" w:hAnsi="仿宋" w:eastAsia="仿宋" w:cs="仿宋"/>
          <w:sz w:val="28"/>
          <w:szCs w:val="28"/>
        </w:rPr>
        <w:t>同时检查自己队伍的服装是否整齐统一。</w:t>
      </w:r>
      <w:r>
        <w:rPr>
          <w:rFonts w:hint="eastAsia" w:ascii="仿宋" w:hAnsi="仿宋" w:eastAsia="仿宋" w:cs="仿宋"/>
          <w:sz w:val="28"/>
          <w:szCs w:val="28"/>
          <w:lang w:eastAsia="zh-CN"/>
        </w:rPr>
        <w:t>在候场区等待裁判呼叫检录。</w:t>
      </w:r>
    </w:p>
    <w:p w14:paraId="44CE498A">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rPr>
      </w:pPr>
      <w:r>
        <w:rPr>
          <w:rFonts w:hint="eastAsia" w:ascii="仿宋" w:hAnsi="仿宋" w:eastAsia="仿宋" w:cs="仿宋"/>
          <w:bCs/>
          <w:sz w:val="28"/>
          <w:szCs w:val="28"/>
          <w:lang w:eastAsia="zh-CN"/>
        </w:rPr>
        <w:t>（三）</w:t>
      </w:r>
      <w:r>
        <w:rPr>
          <w:rFonts w:hint="eastAsia" w:ascii="仿宋" w:hAnsi="仿宋" w:eastAsia="仿宋" w:cs="仿宋"/>
          <w:bCs/>
          <w:sz w:val="28"/>
          <w:szCs w:val="28"/>
        </w:rPr>
        <w:t>比赛期间</w:t>
      </w:r>
    </w:p>
    <w:p w14:paraId="2B511A1F">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rPr>
      </w:pPr>
      <w:r>
        <w:rPr>
          <w:rFonts w:hint="eastAsia" w:ascii="仿宋" w:hAnsi="仿宋" w:eastAsia="仿宋" w:cs="仿宋"/>
          <w:bCs/>
          <w:sz w:val="28"/>
          <w:szCs w:val="28"/>
        </w:rPr>
        <w:t>比赛期间应遵守竞赛规程安排，有组织有纪律，体现良好的赛风赛纪。</w:t>
      </w:r>
    </w:p>
    <w:p w14:paraId="1676AE0E">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rPr>
      </w:pPr>
      <w:r>
        <w:rPr>
          <w:rFonts w:hint="eastAsia" w:ascii="仿宋" w:hAnsi="仿宋" w:eastAsia="仿宋" w:cs="仿宋"/>
          <w:bCs/>
          <w:sz w:val="28"/>
          <w:szCs w:val="28"/>
        </w:rPr>
        <w:t>（四）比赛期间申诉</w:t>
      </w:r>
    </w:p>
    <w:p w14:paraId="24B5D981">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rPr>
      </w:pPr>
      <w:r>
        <w:rPr>
          <w:rFonts w:hint="eastAsia" w:ascii="仿宋" w:hAnsi="仿宋" w:eastAsia="仿宋" w:cs="仿宋"/>
          <w:bCs/>
          <w:sz w:val="28"/>
          <w:szCs w:val="28"/>
        </w:rPr>
        <w:t>如对比赛有异议应根据以下流程申诉：</w:t>
      </w:r>
    </w:p>
    <w:p w14:paraId="453CBC0F">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rPr>
      </w:pPr>
      <w:r>
        <w:rPr>
          <w:rFonts w:hint="eastAsia" w:ascii="仿宋" w:hAnsi="仿宋" w:eastAsia="仿宋" w:cs="仿宋"/>
          <w:bCs/>
          <w:sz w:val="28"/>
          <w:szCs w:val="28"/>
        </w:rPr>
        <w:t>异议→书面申诉→递交仲裁委员会→调查核实→书面意见反馈</w:t>
      </w:r>
    </w:p>
    <w:p w14:paraId="123C57E7">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lang w:eastAsia="zh-CN"/>
        </w:rPr>
      </w:pPr>
      <w:r>
        <w:rPr>
          <w:rFonts w:hint="eastAsia" w:ascii="仿宋" w:hAnsi="仿宋" w:eastAsia="仿宋" w:cs="仿宋"/>
          <w:bCs/>
          <w:sz w:val="28"/>
          <w:szCs w:val="28"/>
          <w:lang w:eastAsia="zh-CN"/>
        </w:rPr>
        <w:t>申诉人</w:t>
      </w:r>
      <w:r>
        <w:rPr>
          <w:rFonts w:hint="eastAsia" w:ascii="仿宋" w:hAnsi="仿宋" w:eastAsia="仿宋" w:cs="仿宋"/>
          <w:bCs/>
          <w:sz w:val="28"/>
          <w:szCs w:val="28"/>
        </w:rPr>
        <w:t>应在该场比赛结束后</w:t>
      </w:r>
      <w:r>
        <w:rPr>
          <w:rFonts w:hint="eastAsia" w:ascii="仿宋" w:hAnsi="仿宋" w:eastAsia="仿宋" w:cs="仿宋"/>
          <w:bCs/>
          <w:sz w:val="28"/>
          <w:szCs w:val="28"/>
          <w:lang w:val="en-US" w:eastAsia="zh-CN"/>
        </w:rPr>
        <w:t>15</w:t>
      </w:r>
      <w:r>
        <w:rPr>
          <w:rFonts w:hint="eastAsia" w:ascii="仿宋" w:hAnsi="仿宋" w:eastAsia="仿宋" w:cs="仿宋"/>
          <w:bCs/>
          <w:sz w:val="28"/>
          <w:szCs w:val="28"/>
        </w:rPr>
        <w:t>分钟内，将申诉表提交至</w:t>
      </w:r>
      <w:r>
        <w:rPr>
          <w:rFonts w:hint="eastAsia" w:ascii="仿宋" w:hAnsi="仿宋" w:eastAsia="仿宋" w:cs="仿宋"/>
          <w:bCs/>
          <w:sz w:val="28"/>
          <w:szCs w:val="28"/>
          <w:lang w:eastAsia="zh-CN"/>
        </w:rPr>
        <w:t>仲裁委员会并交纳申诉金</w:t>
      </w:r>
      <w:r>
        <w:rPr>
          <w:rFonts w:hint="eastAsia" w:ascii="仿宋" w:hAnsi="仿宋" w:eastAsia="仿宋" w:cs="仿宋"/>
          <w:bCs/>
          <w:sz w:val="28"/>
          <w:szCs w:val="28"/>
          <w:lang w:val="en-US" w:eastAsia="zh-CN"/>
        </w:rPr>
        <w:t>1000元</w:t>
      </w:r>
      <w:r>
        <w:rPr>
          <w:rFonts w:hint="eastAsia" w:ascii="仿宋" w:hAnsi="仿宋" w:eastAsia="仿宋" w:cs="仿宋"/>
          <w:bCs/>
          <w:sz w:val="28"/>
          <w:szCs w:val="28"/>
        </w:rPr>
        <w:t>。</w:t>
      </w:r>
      <w:r>
        <w:rPr>
          <w:rFonts w:hint="eastAsia" w:ascii="仿宋" w:hAnsi="仿宋" w:eastAsia="仿宋" w:cs="仿宋"/>
          <w:bCs/>
          <w:sz w:val="28"/>
          <w:szCs w:val="28"/>
          <w:lang w:eastAsia="zh-CN"/>
        </w:rPr>
        <w:t>教练员和运动员在比赛过程中不要与裁判员发生各类冲突，更不要在比赛现场大声喧哗，甚至吵闹。</w:t>
      </w:r>
    </w:p>
    <w:p w14:paraId="267FBB96">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rPr>
      </w:pPr>
      <w:r>
        <w:rPr>
          <w:rFonts w:hint="eastAsia" w:ascii="仿宋" w:hAnsi="仿宋" w:eastAsia="仿宋" w:cs="仿宋"/>
          <w:bCs/>
          <w:sz w:val="28"/>
          <w:szCs w:val="28"/>
        </w:rPr>
        <w:t>（五）开、闭幕式</w:t>
      </w:r>
    </w:p>
    <w:p w14:paraId="6DCA439F">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开幕式和闭幕式是一场赛事的两个最重要的仪式。</w:t>
      </w:r>
      <w:r>
        <w:rPr>
          <w:rFonts w:hint="eastAsia" w:ascii="仿宋" w:hAnsi="仿宋" w:eastAsia="仿宋" w:cs="仿宋"/>
          <w:sz w:val="28"/>
          <w:szCs w:val="28"/>
          <w:lang w:eastAsia="zh-CN"/>
        </w:rPr>
        <w:t>参加</w:t>
      </w:r>
      <w:r>
        <w:rPr>
          <w:rFonts w:hint="eastAsia" w:ascii="仿宋" w:hAnsi="仿宋" w:eastAsia="仿宋" w:cs="仿宋"/>
          <w:sz w:val="28"/>
          <w:szCs w:val="28"/>
        </w:rPr>
        <w:t>开幕式、闭幕式时应该</w:t>
      </w:r>
      <w:r>
        <w:rPr>
          <w:rFonts w:hint="eastAsia" w:ascii="仿宋" w:hAnsi="仿宋" w:eastAsia="仿宋" w:cs="仿宋"/>
          <w:sz w:val="28"/>
          <w:szCs w:val="28"/>
          <w:lang w:eastAsia="zh-CN"/>
        </w:rPr>
        <w:t>统一服装并</w:t>
      </w:r>
      <w:r>
        <w:rPr>
          <w:rFonts w:hint="eastAsia" w:ascii="仿宋" w:hAnsi="仿宋" w:eastAsia="仿宋" w:cs="仿宋"/>
          <w:sz w:val="28"/>
          <w:szCs w:val="28"/>
        </w:rPr>
        <w:t>按照工作人员要求列队，展示本队伍的形象</w:t>
      </w:r>
      <w:r>
        <w:rPr>
          <w:rFonts w:hint="eastAsia" w:ascii="仿宋" w:hAnsi="仿宋" w:eastAsia="仿宋" w:cs="仿宋"/>
          <w:sz w:val="28"/>
          <w:szCs w:val="28"/>
          <w:lang w:eastAsia="zh-CN"/>
        </w:rPr>
        <w:t>。</w:t>
      </w:r>
    </w:p>
    <w:p w14:paraId="5B795296">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rPr>
      </w:pPr>
      <w:r>
        <w:rPr>
          <w:rFonts w:hint="eastAsia" w:ascii="仿宋" w:hAnsi="仿宋" w:eastAsia="仿宋" w:cs="仿宋"/>
          <w:bCs/>
          <w:sz w:val="28"/>
          <w:szCs w:val="28"/>
          <w:lang w:val="en-US" w:eastAsia="zh-CN"/>
        </w:rPr>
        <w:t>（六）应急</w:t>
      </w:r>
      <w:r>
        <w:rPr>
          <w:rFonts w:hint="eastAsia" w:ascii="仿宋" w:hAnsi="仿宋" w:eastAsia="仿宋" w:cs="仿宋"/>
          <w:bCs/>
          <w:sz w:val="28"/>
          <w:szCs w:val="28"/>
        </w:rPr>
        <w:t>情况处理</w:t>
      </w:r>
    </w:p>
    <w:p w14:paraId="36BB60DE">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在赛事期间如出现身体不适，应及时向组委会寻求帮助，以确保身体安全。发现身体不适，应</w:t>
      </w:r>
      <w:r>
        <w:rPr>
          <w:rFonts w:hint="eastAsia" w:ascii="仿宋" w:hAnsi="仿宋" w:eastAsia="仿宋" w:cs="仿宋"/>
          <w:sz w:val="28"/>
          <w:szCs w:val="28"/>
          <w:lang w:val="en-US" w:eastAsia="zh-CN"/>
        </w:rPr>
        <w:t>即刻</w:t>
      </w:r>
      <w:r>
        <w:rPr>
          <w:rFonts w:hint="eastAsia" w:ascii="仿宋" w:hAnsi="仿宋" w:eastAsia="仿宋" w:cs="仿宋"/>
          <w:sz w:val="28"/>
          <w:szCs w:val="28"/>
        </w:rPr>
        <w:t>休息并采取措施，切勿逞强参赛</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把</w:t>
      </w:r>
      <w:r>
        <w:rPr>
          <w:rFonts w:hint="eastAsia" w:ascii="仿宋" w:hAnsi="仿宋" w:eastAsia="仿宋" w:cs="仿宋"/>
          <w:sz w:val="28"/>
          <w:szCs w:val="28"/>
        </w:rPr>
        <w:t>身体安全</w:t>
      </w:r>
      <w:r>
        <w:rPr>
          <w:rFonts w:hint="eastAsia" w:ascii="仿宋" w:hAnsi="仿宋" w:eastAsia="仿宋" w:cs="仿宋"/>
          <w:color w:val="auto"/>
          <w:sz w:val="28"/>
          <w:szCs w:val="28"/>
          <w:lang w:val="en-US" w:eastAsia="zh-CN"/>
        </w:rPr>
        <w:t>摆在</w:t>
      </w:r>
      <w:r>
        <w:rPr>
          <w:rFonts w:hint="eastAsia" w:ascii="仿宋" w:hAnsi="仿宋" w:eastAsia="仿宋" w:cs="仿宋"/>
          <w:sz w:val="28"/>
          <w:szCs w:val="28"/>
        </w:rPr>
        <w:t>第一位。</w:t>
      </w:r>
    </w:p>
    <w:p w14:paraId="3990ECDF">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auto"/>
          <w:sz w:val="28"/>
          <w:szCs w:val="28"/>
          <w:lang w:val="en-US" w:eastAsia="zh-CN"/>
        </w:rPr>
        <w:t>比赛场馆设有医</w:t>
      </w:r>
      <w:r>
        <w:rPr>
          <w:rFonts w:hint="eastAsia" w:ascii="仿宋" w:hAnsi="仿宋" w:eastAsia="仿宋" w:cs="仿宋"/>
          <w:sz w:val="28"/>
          <w:szCs w:val="28"/>
          <w:lang w:val="en-US" w:eastAsia="zh-CN"/>
        </w:rPr>
        <w:t>务处</w:t>
      </w:r>
      <w:r>
        <w:rPr>
          <w:rFonts w:hint="eastAsia" w:ascii="仿宋" w:hAnsi="仿宋" w:eastAsia="仿宋" w:cs="仿宋"/>
          <w:sz w:val="28"/>
          <w:szCs w:val="28"/>
        </w:rPr>
        <w:t>，</w:t>
      </w:r>
      <w:r>
        <w:rPr>
          <w:rFonts w:hint="eastAsia" w:ascii="仿宋" w:hAnsi="仿宋" w:eastAsia="仿宋" w:cs="仿宋"/>
          <w:sz w:val="28"/>
          <w:szCs w:val="28"/>
          <w:lang w:val="en-US" w:eastAsia="zh-CN"/>
        </w:rPr>
        <w:t>如</w:t>
      </w:r>
      <w:r>
        <w:rPr>
          <w:rFonts w:hint="eastAsia" w:ascii="仿宋" w:hAnsi="仿宋" w:eastAsia="仿宋" w:cs="仿宋"/>
          <w:sz w:val="28"/>
          <w:szCs w:val="28"/>
        </w:rPr>
        <w:t>有不适</w:t>
      </w:r>
      <w:r>
        <w:rPr>
          <w:rFonts w:hint="eastAsia" w:ascii="仿宋" w:hAnsi="仿宋" w:eastAsia="仿宋" w:cs="仿宋"/>
          <w:sz w:val="28"/>
          <w:szCs w:val="28"/>
          <w:lang w:val="en-US" w:eastAsia="zh-CN"/>
        </w:rPr>
        <w:t>应</w:t>
      </w:r>
      <w:r>
        <w:rPr>
          <w:rFonts w:hint="eastAsia" w:ascii="仿宋" w:hAnsi="仿宋" w:eastAsia="仿宋" w:cs="仿宋"/>
          <w:sz w:val="28"/>
          <w:szCs w:val="28"/>
        </w:rPr>
        <w:t>及时向医生询问。</w:t>
      </w:r>
    </w:p>
    <w:p w14:paraId="2DE13203">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p>
    <w:p w14:paraId="33F57ED0">
      <w:pPr>
        <w:keepNext w:val="0"/>
        <w:keepLines w:val="0"/>
        <w:pageBreakBefore w:val="0"/>
        <w:widowControl w:val="0"/>
        <w:numPr>
          <w:ilvl w:val="0"/>
          <w:numId w:val="0"/>
        </w:numPr>
        <w:kinsoku/>
        <w:wordWrap/>
        <w:overflowPunct/>
        <w:topLinePunct w:val="0"/>
        <w:autoSpaceDE/>
        <w:autoSpaceDN/>
        <w:bidi w:val="0"/>
        <w:adjustRightInd/>
        <w:spacing w:line="560" w:lineRule="exact"/>
        <w:jc w:val="center"/>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第四章 赛后</w:t>
      </w:r>
    </w:p>
    <w:p w14:paraId="277523FF">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rPr>
      </w:pPr>
      <w:r>
        <w:rPr>
          <w:rFonts w:hint="eastAsia" w:ascii="仿宋" w:hAnsi="仿宋" w:eastAsia="仿宋" w:cs="仿宋"/>
          <w:bCs/>
          <w:sz w:val="28"/>
          <w:szCs w:val="28"/>
          <w:lang w:eastAsia="zh-CN"/>
        </w:rPr>
        <w:t>一、</w:t>
      </w:r>
      <w:r>
        <w:rPr>
          <w:rFonts w:hint="eastAsia" w:ascii="仿宋" w:hAnsi="仿宋" w:eastAsia="仿宋" w:cs="仿宋"/>
          <w:bCs/>
          <w:sz w:val="28"/>
          <w:szCs w:val="28"/>
        </w:rPr>
        <w:t>及时总结</w:t>
      </w:r>
    </w:p>
    <w:p w14:paraId="48147EFE">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比赛</w:t>
      </w:r>
      <w:r>
        <w:rPr>
          <w:rFonts w:hint="eastAsia" w:ascii="仿宋" w:hAnsi="仿宋" w:eastAsia="仿宋" w:cs="仿宋"/>
          <w:sz w:val="28"/>
          <w:szCs w:val="28"/>
          <w:lang w:val="en-US" w:eastAsia="zh-CN"/>
        </w:rPr>
        <w:t>结果无论</w:t>
      </w:r>
      <w:r>
        <w:rPr>
          <w:rFonts w:hint="eastAsia" w:ascii="仿宋" w:hAnsi="仿宋" w:eastAsia="仿宋" w:cs="仿宋"/>
          <w:sz w:val="28"/>
          <w:szCs w:val="28"/>
        </w:rPr>
        <w:t>输赢，都应保持平和心态，并进行赛后总结，以便提升队伍的水平。同时，应分别针对赛前筹备、参赛安排、竞赛水平、技战术发挥等方面进行总结，为下次参赛积累经验。</w:t>
      </w:r>
    </w:p>
    <w:p w14:paraId="403D78F6">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Cs/>
          <w:sz w:val="28"/>
          <w:szCs w:val="28"/>
        </w:rPr>
      </w:pPr>
      <w:r>
        <w:rPr>
          <w:rFonts w:hint="eastAsia" w:ascii="仿宋" w:hAnsi="仿宋" w:eastAsia="仿宋" w:cs="仿宋"/>
          <w:bCs/>
          <w:sz w:val="28"/>
          <w:szCs w:val="28"/>
          <w:lang w:eastAsia="zh-CN"/>
        </w:rPr>
        <w:t>二、</w:t>
      </w:r>
      <w:r>
        <w:rPr>
          <w:rFonts w:hint="eastAsia" w:ascii="仿宋" w:hAnsi="仿宋" w:eastAsia="仿宋" w:cs="仿宋"/>
          <w:bCs/>
          <w:sz w:val="28"/>
          <w:szCs w:val="28"/>
        </w:rPr>
        <w:t>返程安排</w:t>
      </w:r>
    </w:p>
    <w:p w14:paraId="627424F8">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color w:val="FF0000"/>
          <w:sz w:val="28"/>
          <w:szCs w:val="28"/>
        </w:rPr>
      </w:pPr>
      <w:r>
        <w:rPr>
          <w:rFonts w:hint="eastAsia" w:ascii="仿宋" w:hAnsi="仿宋" w:eastAsia="仿宋" w:cs="仿宋"/>
          <w:sz w:val="28"/>
          <w:szCs w:val="28"/>
        </w:rPr>
        <w:t>返程</w:t>
      </w:r>
      <w:r>
        <w:rPr>
          <w:rFonts w:hint="eastAsia" w:ascii="仿宋" w:hAnsi="仿宋" w:eastAsia="仿宋" w:cs="仿宋"/>
          <w:sz w:val="28"/>
          <w:szCs w:val="28"/>
          <w:lang w:val="en-US" w:eastAsia="zh-CN"/>
        </w:rPr>
        <w:t>前</w:t>
      </w:r>
      <w:r>
        <w:rPr>
          <w:rFonts w:hint="eastAsia" w:ascii="仿宋" w:hAnsi="仿宋" w:eastAsia="仿宋" w:cs="仿宋"/>
          <w:sz w:val="28"/>
          <w:szCs w:val="28"/>
        </w:rPr>
        <w:t>应</w:t>
      </w:r>
      <w:r>
        <w:rPr>
          <w:rFonts w:hint="eastAsia" w:ascii="仿宋" w:hAnsi="仿宋" w:eastAsia="仿宋" w:cs="仿宋"/>
          <w:sz w:val="28"/>
          <w:szCs w:val="28"/>
          <w:lang w:val="en-US" w:eastAsia="zh-CN"/>
        </w:rPr>
        <w:t>办妥发票事宜</w:t>
      </w:r>
      <w:r>
        <w:rPr>
          <w:rFonts w:hint="eastAsia" w:ascii="仿宋" w:hAnsi="仿宋" w:eastAsia="仿宋" w:cs="仿宋"/>
          <w:sz w:val="28"/>
          <w:szCs w:val="28"/>
        </w:rPr>
        <w:t>，按要求时间退房，并提前安排好返程的</w:t>
      </w:r>
      <w:r>
        <w:rPr>
          <w:rFonts w:hint="eastAsia" w:ascii="仿宋" w:hAnsi="仿宋" w:eastAsia="仿宋" w:cs="仿宋"/>
          <w:sz w:val="28"/>
          <w:szCs w:val="28"/>
          <w:lang w:val="en-US" w:eastAsia="zh-CN"/>
        </w:rPr>
        <w:t>交通方式</w:t>
      </w:r>
      <w:r>
        <w:rPr>
          <w:rFonts w:hint="eastAsia" w:ascii="仿宋" w:hAnsi="仿宋" w:eastAsia="仿宋" w:cs="仿宋"/>
          <w:sz w:val="28"/>
          <w:szCs w:val="28"/>
        </w:rPr>
        <w:t>。如需要送站的，要及时关注组委会的送站信息。</w:t>
      </w:r>
    </w:p>
    <w:p w14:paraId="67077FA8">
      <w:pPr>
        <w:keepNext w:val="0"/>
        <w:keepLines w:val="0"/>
        <w:pageBreakBefore w:val="0"/>
        <w:widowControl w:val="0"/>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三、</w:t>
      </w:r>
      <w:r>
        <w:rPr>
          <w:rFonts w:hint="eastAsia" w:ascii="仿宋" w:hAnsi="仿宋" w:eastAsia="仿宋" w:cs="仿宋"/>
          <w:sz w:val="28"/>
          <w:szCs w:val="28"/>
        </w:rPr>
        <w:t>做好本次比赛的宣传报道工作。</w:t>
      </w:r>
    </w:p>
    <w:p w14:paraId="1EE4663C">
      <w:pPr>
        <w:keepNext w:val="0"/>
        <w:keepLines w:val="0"/>
        <w:pageBreakBefore w:val="0"/>
        <w:widowControl w:val="0"/>
        <w:kinsoku/>
        <w:wordWrap/>
        <w:overflowPunct/>
        <w:topLinePunct w:val="0"/>
        <w:autoSpaceDE/>
        <w:autoSpaceDN/>
        <w:bidi w:val="0"/>
        <w:adjustRightInd/>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四、参赛队可在赛后填写评估表格并发送至</w:t>
      </w:r>
      <w:r>
        <w:rPr>
          <w:rFonts w:hint="eastAsia" w:ascii="仿宋" w:hAnsi="仿宋" w:eastAsia="仿宋" w:cs="仿宋"/>
          <w:sz w:val="28"/>
          <w:szCs w:val="28"/>
          <w:lang w:eastAsia="zh-CN"/>
        </w:rPr>
        <w:t>社体中心指定邮箱</w:t>
      </w:r>
      <w:r>
        <w:rPr>
          <w:rFonts w:hint="eastAsia" w:ascii="仿宋" w:hAnsi="仿宋" w:eastAsia="仿宋" w:cs="仿宋"/>
          <w:sz w:val="28"/>
          <w:szCs w:val="28"/>
        </w:rPr>
        <w:t>。（见附件2）</w:t>
      </w:r>
    </w:p>
    <w:p w14:paraId="083426ED">
      <w:pPr>
        <w:keepNext w:val="0"/>
        <w:keepLines w:val="0"/>
        <w:pageBreakBefore w:val="0"/>
        <w:widowControl w:val="0"/>
        <w:kinsoku/>
        <w:wordWrap/>
        <w:overflowPunct/>
        <w:topLinePunct w:val="0"/>
        <w:autoSpaceDE/>
        <w:autoSpaceDN/>
        <w:bidi w:val="0"/>
        <w:adjustRightInd/>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eastAsia="zh-CN"/>
        </w:rPr>
        <w:t>附件</w:t>
      </w:r>
      <w:r>
        <w:rPr>
          <w:rFonts w:hint="eastAsia" w:ascii="仿宋" w:hAnsi="仿宋" w:eastAsia="仿宋" w:cs="仿宋"/>
          <w:sz w:val="28"/>
          <w:szCs w:val="28"/>
          <w:lang w:val="en-US" w:eastAsia="zh-CN"/>
        </w:rPr>
        <w:t>1：</w:t>
      </w:r>
    </w:p>
    <w:p w14:paraId="33B48734">
      <w:pPr>
        <w:keepNext w:val="0"/>
        <w:keepLines w:val="0"/>
        <w:pageBreakBefore w:val="0"/>
        <w:widowControl w:val="0"/>
        <w:kinsoku/>
        <w:wordWrap/>
        <w:overflowPunct/>
        <w:topLinePunct w:val="0"/>
        <w:autoSpaceDE/>
        <w:autoSpaceDN/>
        <w:bidi w:val="0"/>
        <w:adjustRightInd/>
        <w:spacing w:line="560" w:lineRule="exact"/>
        <w:rPr>
          <w:rFonts w:hint="eastAsia" w:ascii="仿宋" w:hAnsi="仿宋" w:eastAsia="仿宋" w:cs="仿宋"/>
          <w:sz w:val="28"/>
          <w:szCs w:val="28"/>
          <w:lang w:val="en-US" w:eastAsia="zh-CN"/>
        </w:rPr>
      </w:pPr>
    </w:p>
    <w:p w14:paraId="0A1A1088">
      <w:pPr>
        <w:keepNext w:val="0"/>
        <w:keepLines w:val="0"/>
        <w:pageBreakBefore w:val="0"/>
        <w:widowControl w:val="0"/>
        <w:kinsoku/>
        <w:wordWrap/>
        <w:overflowPunct/>
        <w:topLinePunct w:val="0"/>
        <w:autoSpaceDE/>
        <w:autoSpaceDN/>
        <w:bidi w:val="0"/>
        <w:adjustRightInd/>
        <w:spacing w:line="56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XXXX年全国卡巴迪赛事报名表</w:t>
      </w:r>
    </w:p>
    <w:p w14:paraId="142148E7">
      <w:pPr>
        <w:keepNext w:val="0"/>
        <w:keepLines w:val="0"/>
        <w:pageBreakBefore w:val="0"/>
        <w:widowControl w:val="0"/>
        <w:kinsoku/>
        <w:wordWrap/>
        <w:overflowPunct/>
        <w:topLinePunct w:val="0"/>
        <w:autoSpaceDE/>
        <w:autoSpaceDN/>
        <w:bidi w:val="0"/>
        <w:adjustRightInd/>
        <w:spacing w:line="560" w:lineRule="exact"/>
        <w:jc w:val="center"/>
        <w:rPr>
          <w:rFonts w:hint="eastAsia" w:ascii="仿宋" w:hAnsi="仿宋" w:eastAsia="仿宋" w:cs="仿宋"/>
          <w:sz w:val="28"/>
          <w:szCs w:val="28"/>
          <w:lang w:val="en-US" w:eastAsia="zh-CN"/>
        </w:rPr>
      </w:pPr>
    </w:p>
    <w:p w14:paraId="002F370A">
      <w:pPr>
        <w:keepNext w:val="0"/>
        <w:keepLines w:val="0"/>
        <w:pageBreakBefore w:val="0"/>
        <w:widowControl w:val="0"/>
        <w:kinsoku/>
        <w:wordWrap/>
        <w:overflowPunct/>
        <w:topLinePunct w:val="0"/>
        <w:autoSpaceDE/>
        <w:autoSpaceDN/>
        <w:bidi w:val="0"/>
        <w:adjustRightInd/>
        <w:spacing w:line="560" w:lineRule="exac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队名：                 组别：                  队  医：</w:t>
      </w:r>
    </w:p>
    <w:p w14:paraId="59078CD4">
      <w:pPr>
        <w:keepNext w:val="0"/>
        <w:keepLines w:val="0"/>
        <w:pageBreakBefore w:val="0"/>
        <w:widowControl w:val="0"/>
        <w:kinsoku/>
        <w:wordWrap/>
        <w:overflowPunct/>
        <w:topLinePunct w:val="0"/>
        <w:autoSpaceDE/>
        <w:autoSpaceDN/>
        <w:bidi w:val="0"/>
        <w:adjustRightInd/>
        <w:spacing w:line="560" w:lineRule="exac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领队：                 电话：                  微信号：</w:t>
      </w:r>
    </w:p>
    <w:p w14:paraId="521B528F">
      <w:pPr>
        <w:keepNext w:val="0"/>
        <w:keepLines w:val="0"/>
        <w:pageBreakBefore w:val="0"/>
        <w:widowControl w:val="0"/>
        <w:kinsoku/>
        <w:wordWrap/>
        <w:overflowPunct/>
        <w:topLinePunct w:val="0"/>
        <w:autoSpaceDE/>
        <w:autoSpaceDN/>
        <w:bidi w:val="0"/>
        <w:adjustRightInd/>
        <w:spacing w:line="560" w:lineRule="exact"/>
        <w:rPr>
          <w:rFonts w:hint="eastAsia" w:ascii="仿宋" w:hAnsi="仿宋" w:eastAsia="仿宋" w:cs="仿宋"/>
          <w:sz w:val="13"/>
          <w:szCs w:val="13"/>
          <w:lang w:val="en-US" w:eastAsia="zh-CN"/>
        </w:rPr>
      </w:pPr>
      <w:r>
        <w:rPr>
          <w:rFonts w:hint="eastAsia" w:ascii="仿宋" w:hAnsi="仿宋" w:eastAsia="仿宋" w:cs="仿宋"/>
          <w:sz w:val="24"/>
          <w:szCs w:val="24"/>
          <w:lang w:val="en-US" w:eastAsia="zh-CN"/>
        </w:rPr>
        <w:t>教练：                 电话：                  微信号：</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1500"/>
        <w:gridCol w:w="2655"/>
        <w:gridCol w:w="1455"/>
        <w:gridCol w:w="2851"/>
      </w:tblGrid>
      <w:tr w14:paraId="7A09F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683F111C">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序号</w:t>
            </w:r>
          </w:p>
        </w:tc>
        <w:tc>
          <w:tcPr>
            <w:tcW w:w="1500" w:type="dxa"/>
            <w:vAlign w:val="center"/>
          </w:tcPr>
          <w:p w14:paraId="56D41FC3">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男队员姓名</w:t>
            </w:r>
          </w:p>
        </w:tc>
        <w:tc>
          <w:tcPr>
            <w:tcW w:w="2655" w:type="dxa"/>
            <w:vAlign w:val="center"/>
          </w:tcPr>
          <w:p w14:paraId="265BECBA">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身份证号码</w:t>
            </w:r>
          </w:p>
        </w:tc>
        <w:tc>
          <w:tcPr>
            <w:tcW w:w="1455" w:type="dxa"/>
            <w:vAlign w:val="center"/>
          </w:tcPr>
          <w:p w14:paraId="6846E3DD">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女队员姓名</w:t>
            </w:r>
          </w:p>
        </w:tc>
        <w:tc>
          <w:tcPr>
            <w:tcW w:w="2851" w:type="dxa"/>
            <w:vAlign w:val="center"/>
          </w:tcPr>
          <w:p w14:paraId="00674998">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身份证号码</w:t>
            </w:r>
          </w:p>
        </w:tc>
      </w:tr>
      <w:tr w14:paraId="2053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48CE774F">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1500" w:type="dxa"/>
            <w:vAlign w:val="center"/>
          </w:tcPr>
          <w:p w14:paraId="3250F4B2">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655" w:type="dxa"/>
            <w:vAlign w:val="center"/>
          </w:tcPr>
          <w:p w14:paraId="4075090B">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1455" w:type="dxa"/>
            <w:vAlign w:val="center"/>
          </w:tcPr>
          <w:p w14:paraId="3CE41FB1">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851" w:type="dxa"/>
            <w:vAlign w:val="center"/>
          </w:tcPr>
          <w:p w14:paraId="4B5A22C5">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r>
      <w:tr w14:paraId="698E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66C79C53">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1500" w:type="dxa"/>
            <w:vAlign w:val="center"/>
          </w:tcPr>
          <w:p w14:paraId="4D856E92">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655" w:type="dxa"/>
            <w:vAlign w:val="center"/>
          </w:tcPr>
          <w:p w14:paraId="766107F9">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1455" w:type="dxa"/>
            <w:vAlign w:val="center"/>
          </w:tcPr>
          <w:p w14:paraId="6E8BB17B">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851" w:type="dxa"/>
            <w:vAlign w:val="center"/>
          </w:tcPr>
          <w:p w14:paraId="2E8619CA">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r>
      <w:tr w14:paraId="64D1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4143F188">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1500" w:type="dxa"/>
            <w:vAlign w:val="center"/>
          </w:tcPr>
          <w:p w14:paraId="52F30EBC">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655" w:type="dxa"/>
            <w:vAlign w:val="center"/>
          </w:tcPr>
          <w:p w14:paraId="12D72254">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1455" w:type="dxa"/>
            <w:vAlign w:val="center"/>
          </w:tcPr>
          <w:p w14:paraId="6D29EBAE">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851" w:type="dxa"/>
            <w:vAlign w:val="center"/>
          </w:tcPr>
          <w:p w14:paraId="0D3065E7">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r>
      <w:tr w14:paraId="212A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23C3881D">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1500" w:type="dxa"/>
            <w:vAlign w:val="center"/>
          </w:tcPr>
          <w:p w14:paraId="0FA75E5A">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655" w:type="dxa"/>
            <w:vAlign w:val="center"/>
          </w:tcPr>
          <w:p w14:paraId="46C88FC9">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1455" w:type="dxa"/>
            <w:vAlign w:val="center"/>
          </w:tcPr>
          <w:p w14:paraId="14323B9E">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851" w:type="dxa"/>
            <w:vAlign w:val="center"/>
          </w:tcPr>
          <w:p w14:paraId="71059F2B">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r>
      <w:tr w14:paraId="1F78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4851EE0C">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1500" w:type="dxa"/>
            <w:vAlign w:val="center"/>
          </w:tcPr>
          <w:p w14:paraId="643E4694">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655" w:type="dxa"/>
            <w:vAlign w:val="center"/>
          </w:tcPr>
          <w:p w14:paraId="0BBEB66B">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1455" w:type="dxa"/>
            <w:vAlign w:val="center"/>
          </w:tcPr>
          <w:p w14:paraId="7D677E76">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851" w:type="dxa"/>
            <w:vAlign w:val="center"/>
          </w:tcPr>
          <w:p w14:paraId="419552C4">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r>
      <w:tr w14:paraId="7E3B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2BEE0686">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1500" w:type="dxa"/>
            <w:vAlign w:val="center"/>
          </w:tcPr>
          <w:p w14:paraId="57022590">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655" w:type="dxa"/>
            <w:vAlign w:val="center"/>
          </w:tcPr>
          <w:p w14:paraId="1DE9A82F">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1455" w:type="dxa"/>
            <w:vAlign w:val="center"/>
          </w:tcPr>
          <w:p w14:paraId="792B4090">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851" w:type="dxa"/>
            <w:vAlign w:val="center"/>
          </w:tcPr>
          <w:p w14:paraId="7ADC6062">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r>
      <w:tr w14:paraId="5DBC5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2DD20DB0">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7</w:t>
            </w:r>
          </w:p>
        </w:tc>
        <w:tc>
          <w:tcPr>
            <w:tcW w:w="1500" w:type="dxa"/>
            <w:vAlign w:val="center"/>
          </w:tcPr>
          <w:p w14:paraId="2FC86B10">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655" w:type="dxa"/>
            <w:vAlign w:val="center"/>
          </w:tcPr>
          <w:p w14:paraId="3F0126B0">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1455" w:type="dxa"/>
            <w:vAlign w:val="center"/>
          </w:tcPr>
          <w:p w14:paraId="5CDA314E">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851" w:type="dxa"/>
            <w:vAlign w:val="center"/>
          </w:tcPr>
          <w:p w14:paraId="7DF98357">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r>
      <w:tr w14:paraId="1163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2BF5A70B">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8</w:t>
            </w:r>
          </w:p>
        </w:tc>
        <w:tc>
          <w:tcPr>
            <w:tcW w:w="1500" w:type="dxa"/>
            <w:vAlign w:val="center"/>
          </w:tcPr>
          <w:p w14:paraId="3C78F2DC">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655" w:type="dxa"/>
            <w:vAlign w:val="center"/>
          </w:tcPr>
          <w:p w14:paraId="44F15BC2">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1455" w:type="dxa"/>
            <w:vAlign w:val="center"/>
          </w:tcPr>
          <w:p w14:paraId="2EA312ED">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851" w:type="dxa"/>
            <w:vAlign w:val="center"/>
          </w:tcPr>
          <w:p w14:paraId="1CA3782C">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r>
      <w:tr w14:paraId="5A3B8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384D2167">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9</w:t>
            </w:r>
          </w:p>
        </w:tc>
        <w:tc>
          <w:tcPr>
            <w:tcW w:w="1500" w:type="dxa"/>
            <w:vAlign w:val="center"/>
          </w:tcPr>
          <w:p w14:paraId="4880B8CC">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655" w:type="dxa"/>
            <w:vAlign w:val="center"/>
          </w:tcPr>
          <w:p w14:paraId="2AE27495">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1455" w:type="dxa"/>
            <w:vAlign w:val="center"/>
          </w:tcPr>
          <w:p w14:paraId="615CBC3D">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851" w:type="dxa"/>
            <w:vAlign w:val="center"/>
          </w:tcPr>
          <w:p w14:paraId="10845B1C">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r>
      <w:tr w14:paraId="5505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521CC6B4">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w:t>
            </w:r>
          </w:p>
        </w:tc>
        <w:tc>
          <w:tcPr>
            <w:tcW w:w="1500" w:type="dxa"/>
            <w:vAlign w:val="center"/>
          </w:tcPr>
          <w:p w14:paraId="41922D96">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655" w:type="dxa"/>
            <w:vAlign w:val="center"/>
          </w:tcPr>
          <w:p w14:paraId="44F34E64">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1455" w:type="dxa"/>
            <w:vAlign w:val="center"/>
          </w:tcPr>
          <w:p w14:paraId="23FA5D21">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851" w:type="dxa"/>
            <w:vAlign w:val="center"/>
          </w:tcPr>
          <w:p w14:paraId="5E6AB922">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r>
      <w:tr w14:paraId="62CD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758E704F">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11</w:t>
            </w:r>
          </w:p>
        </w:tc>
        <w:tc>
          <w:tcPr>
            <w:tcW w:w="1500" w:type="dxa"/>
            <w:vAlign w:val="center"/>
          </w:tcPr>
          <w:p w14:paraId="47665B49">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655" w:type="dxa"/>
            <w:vAlign w:val="center"/>
          </w:tcPr>
          <w:p w14:paraId="03C312A6">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1455" w:type="dxa"/>
            <w:vAlign w:val="center"/>
          </w:tcPr>
          <w:p w14:paraId="0301A05B">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851" w:type="dxa"/>
            <w:vAlign w:val="center"/>
          </w:tcPr>
          <w:p w14:paraId="64EC84F3">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r>
      <w:tr w14:paraId="0BB7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5894BCFA">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12</w:t>
            </w:r>
          </w:p>
        </w:tc>
        <w:tc>
          <w:tcPr>
            <w:tcW w:w="1500" w:type="dxa"/>
            <w:vAlign w:val="center"/>
          </w:tcPr>
          <w:p w14:paraId="0F10B296">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655" w:type="dxa"/>
            <w:vAlign w:val="center"/>
          </w:tcPr>
          <w:p w14:paraId="74710230">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1455" w:type="dxa"/>
            <w:vAlign w:val="center"/>
          </w:tcPr>
          <w:p w14:paraId="50345F76">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c>
          <w:tcPr>
            <w:tcW w:w="2851" w:type="dxa"/>
            <w:vAlign w:val="center"/>
          </w:tcPr>
          <w:p w14:paraId="64059F09">
            <w:pPr>
              <w:keepNext w:val="0"/>
              <w:keepLines w:val="0"/>
              <w:pageBreakBefore w:val="0"/>
              <w:widowControl w:val="0"/>
              <w:kinsoku/>
              <w:wordWrap/>
              <w:overflowPunct/>
              <w:topLinePunct w:val="0"/>
              <w:autoSpaceDE/>
              <w:autoSpaceDN/>
              <w:bidi w:val="0"/>
              <w:adjustRightInd/>
              <w:spacing w:line="560" w:lineRule="exact"/>
              <w:jc w:val="center"/>
              <w:rPr>
                <w:rFonts w:hint="default" w:ascii="仿宋" w:hAnsi="仿宋" w:eastAsia="仿宋" w:cs="仿宋"/>
                <w:sz w:val="24"/>
                <w:szCs w:val="24"/>
                <w:vertAlign w:val="baseline"/>
                <w:lang w:val="en-US" w:eastAsia="zh-CN"/>
              </w:rPr>
            </w:pPr>
          </w:p>
        </w:tc>
      </w:tr>
    </w:tbl>
    <w:p w14:paraId="020FB6F3">
      <w:pPr>
        <w:keepNext w:val="0"/>
        <w:keepLines w:val="0"/>
        <w:pageBreakBefore w:val="0"/>
        <w:widowControl w:val="0"/>
        <w:kinsoku/>
        <w:wordWrap/>
        <w:overflowPunct/>
        <w:topLinePunct w:val="0"/>
        <w:autoSpaceDE/>
        <w:autoSpaceDN/>
        <w:bidi w:val="0"/>
        <w:adjustRightInd/>
        <w:spacing w:before="57" w:line="560" w:lineRule="exact"/>
        <w:ind w:right="106"/>
        <w:jc w:val="both"/>
        <w:rPr>
          <w:rFonts w:hint="eastAsia" w:ascii="仿宋" w:hAnsi="仿宋" w:eastAsia="仿宋" w:cs="仿宋"/>
          <w:b w:val="0"/>
          <w:bCs/>
          <w:sz w:val="28"/>
          <w:szCs w:val="28"/>
          <w:lang w:eastAsia="zh-CN"/>
        </w:rPr>
      </w:pPr>
    </w:p>
    <w:p w14:paraId="10C5BBD5">
      <w:pPr>
        <w:keepNext w:val="0"/>
        <w:keepLines w:val="0"/>
        <w:pageBreakBefore w:val="0"/>
        <w:widowControl w:val="0"/>
        <w:kinsoku/>
        <w:wordWrap/>
        <w:overflowPunct/>
        <w:topLinePunct w:val="0"/>
        <w:autoSpaceDE/>
        <w:autoSpaceDN/>
        <w:bidi w:val="0"/>
        <w:adjustRightInd/>
        <w:spacing w:before="57" w:line="560" w:lineRule="exact"/>
        <w:ind w:right="106"/>
        <w:jc w:val="both"/>
        <w:rPr>
          <w:rFonts w:hint="eastAsia" w:eastAsiaTheme="minorEastAsia"/>
          <w:b/>
          <w:lang w:eastAsia="zh-CN"/>
        </w:rPr>
      </w:pPr>
      <w:r>
        <w:rPr>
          <w:rFonts w:hint="eastAsia" w:ascii="仿宋" w:hAnsi="仿宋" w:eastAsia="仿宋" w:cs="仿宋"/>
          <w:b w:val="0"/>
          <w:bCs/>
          <w:sz w:val="28"/>
          <w:szCs w:val="28"/>
          <w:lang w:eastAsia="zh-CN"/>
        </w:rPr>
        <w:t>单位盖章：</w:t>
      </w:r>
    </w:p>
    <w:p w14:paraId="248F7367">
      <w:pPr>
        <w:keepNext w:val="0"/>
        <w:keepLines w:val="0"/>
        <w:pageBreakBefore w:val="0"/>
        <w:widowControl w:val="0"/>
        <w:kinsoku/>
        <w:wordWrap/>
        <w:overflowPunct/>
        <w:topLinePunct w:val="0"/>
        <w:autoSpaceDE/>
        <w:autoSpaceDN/>
        <w:bidi w:val="0"/>
        <w:adjustRightInd/>
        <w:spacing w:before="57" w:line="560" w:lineRule="exact"/>
        <w:ind w:right="106"/>
        <w:rPr>
          <w:rFonts w:hint="eastAsia" w:ascii="仿宋" w:hAnsi="仿宋" w:eastAsia="仿宋" w:cs="仿宋"/>
          <w:b w:val="0"/>
          <w:bCs/>
          <w:sz w:val="28"/>
          <w:szCs w:val="28"/>
        </w:rPr>
      </w:pPr>
    </w:p>
    <w:p w14:paraId="4293D2A2">
      <w:pPr>
        <w:keepNext w:val="0"/>
        <w:keepLines w:val="0"/>
        <w:pageBreakBefore w:val="0"/>
        <w:widowControl w:val="0"/>
        <w:kinsoku/>
        <w:wordWrap/>
        <w:overflowPunct/>
        <w:topLinePunct w:val="0"/>
        <w:autoSpaceDE/>
        <w:autoSpaceDN/>
        <w:bidi w:val="0"/>
        <w:adjustRightInd/>
        <w:spacing w:before="57" w:line="560" w:lineRule="exact"/>
        <w:ind w:right="106"/>
        <w:rPr>
          <w:rFonts w:hint="eastAsia" w:ascii="仿宋" w:hAnsi="仿宋" w:eastAsia="仿宋" w:cs="仿宋"/>
          <w:b w:val="0"/>
          <w:bCs/>
          <w:sz w:val="28"/>
          <w:szCs w:val="28"/>
        </w:rPr>
      </w:pPr>
    </w:p>
    <w:p w14:paraId="7772C76A">
      <w:pPr>
        <w:keepNext w:val="0"/>
        <w:keepLines w:val="0"/>
        <w:pageBreakBefore w:val="0"/>
        <w:widowControl w:val="0"/>
        <w:kinsoku/>
        <w:wordWrap/>
        <w:overflowPunct/>
        <w:topLinePunct w:val="0"/>
        <w:autoSpaceDE/>
        <w:autoSpaceDN/>
        <w:bidi w:val="0"/>
        <w:adjustRightInd/>
        <w:spacing w:before="57" w:line="560" w:lineRule="exact"/>
        <w:ind w:right="106"/>
        <w:rPr>
          <w:rFonts w:hint="eastAsia" w:ascii="仿宋" w:hAnsi="仿宋" w:eastAsia="仿宋" w:cs="仿宋"/>
          <w:b w:val="0"/>
          <w:bCs/>
          <w:sz w:val="13"/>
          <w:szCs w:val="13"/>
        </w:rPr>
      </w:pPr>
      <w:r>
        <w:rPr>
          <w:rFonts w:hint="eastAsia" w:ascii="仿宋" w:hAnsi="仿宋" w:eastAsia="仿宋" w:cs="仿宋"/>
          <w:b w:val="0"/>
          <w:bCs/>
          <w:sz w:val="28"/>
          <w:szCs w:val="28"/>
        </w:rPr>
        <w:t>附件2</w:t>
      </w:r>
    </w:p>
    <w:p w14:paraId="275F65C9">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赛事组织评价表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3912"/>
        <w:gridCol w:w="540"/>
        <w:gridCol w:w="540"/>
        <w:gridCol w:w="615"/>
        <w:gridCol w:w="555"/>
        <w:gridCol w:w="1800"/>
      </w:tblGrid>
      <w:tr w14:paraId="3B4F8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Align w:val="center"/>
          </w:tcPr>
          <w:p w14:paraId="595EA8C3">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赛事名称</w:t>
            </w:r>
          </w:p>
        </w:tc>
        <w:tc>
          <w:tcPr>
            <w:tcW w:w="7962" w:type="dxa"/>
            <w:gridSpan w:val="6"/>
            <w:vAlign w:val="center"/>
          </w:tcPr>
          <w:p w14:paraId="4FCB6995">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r w14:paraId="3EB2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Align w:val="center"/>
          </w:tcPr>
          <w:p w14:paraId="26E64666">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参赛单位</w:t>
            </w:r>
          </w:p>
        </w:tc>
        <w:tc>
          <w:tcPr>
            <w:tcW w:w="3912" w:type="dxa"/>
            <w:vAlign w:val="center"/>
          </w:tcPr>
          <w:p w14:paraId="45EB3E76">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2250" w:type="dxa"/>
            <w:gridSpan w:val="4"/>
            <w:vAlign w:val="center"/>
          </w:tcPr>
          <w:p w14:paraId="59CE1568">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参赛人数</w:t>
            </w:r>
          </w:p>
        </w:tc>
        <w:tc>
          <w:tcPr>
            <w:tcW w:w="1800" w:type="dxa"/>
            <w:vAlign w:val="center"/>
          </w:tcPr>
          <w:p w14:paraId="3B9955ED">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r w14:paraId="3DFFE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Merge w:val="restart"/>
            <w:vAlign w:val="center"/>
          </w:tcPr>
          <w:p w14:paraId="19242B6C">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评价项目</w:t>
            </w:r>
          </w:p>
        </w:tc>
        <w:tc>
          <w:tcPr>
            <w:tcW w:w="3912" w:type="dxa"/>
            <w:vMerge w:val="restart"/>
            <w:vAlign w:val="center"/>
          </w:tcPr>
          <w:p w14:paraId="23BDF3A0">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评价内容</w:t>
            </w:r>
          </w:p>
        </w:tc>
        <w:tc>
          <w:tcPr>
            <w:tcW w:w="4050" w:type="dxa"/>
            <w:gridSpan w:val="5"/>
            <w:vAlign w:val="center"/>
          </w:tcPr>
          <w:p w14:paraId="68BC7D53">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评价结果</w:t>
            </w:r>
          </w:p>
        </w:tc>
      </w:tr>
      <w:tr w14:paraId="17A7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Merge w:val="continue"/>
            <w:vAlign w:val="center"/>
          </w:tcPr>
          <w:p w14:paraId="1C5EF26F">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3912" w:type="dxa"/>
            <w:vMerge w:val="continue"/>
            <w:vAlign w:val="center"/>
          </w:tcPr>
          <w:p w14:paraId="07A3C7F9">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40" w:type="dxa"/>
            <w:vAlign w:val="center"/>
          </w:tcPr>
          <w:p w14:paraId="430DE801">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优</w:t>
            </w:r>
          </w:p>
        </w:tc>
        <w:tc>
          <w:tcPr>
            <w:tcW w:w="540" w:type="dxa"/>
            <w:vAlign w:val="center"/>
          </w:tcPr>
          <w:p w14:paraId="638911AE">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良</w:t>
            </w:r>
          </w:p>
        </w:tc>
        <w:tc>
          <w:tcPr>
            <w:tcW w:w="615" w:type="dxa"/>
            <w:vAlign w:val="center"/>
          </w:tcPr>
          <w:p w14:paraId="4A2CFB33">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中</w:t>
            </w:r>
          </w:p>
        </w:tc>
        <w:tc>
          <w:tcPr>
            <w:tcW w:w="555" w:type="dxa"/>
            <w:vAlign w:val="center"/>
          </w:tcPr>
          <w:p w14:paraId="2A32F2A7">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差</w:t>
            </w:r>
          </w:p>
        </w:tc>
        <w:tc>
          <w:tcPr>
            <w:tcW w:w="1800" w:type="dxa"/>
            <w:vAlign w:val="center"/>
          </w:tcPr>
          <w:p w14:paraId="27CD5EA1">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项目评价结果</w:t>
            </w:r>
          </w:p>
        </w:tc>
      </w:tr>
      <w:tr w14:paraId="49DB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Merge w:val="restart"/>
            <w:vAlign w:val="center"/>
          </w:tcPr>
          <w:p w14:paraId="77DA7F51">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赛事组织</w:t>
            </w:r>
          </w:p>
        </w:tc>
        <w:tc>
          <w:tcPr>
            <w:tcW w:w="3912" w:type="dxa"/>
            <w:vAlign w:val="center"/>
          </w:tcPr>
          <w:p w14:paraId="15E57F21">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rPr>
              <w:t>竞赛规程全面、科学、完整</w:t>
            </w:r>
          </w:p>
        </w:tc>
        <w:tc>
          <w:tcPr>
            <w:tcW w:w="540" w:type="dxa"/>
            <w:vAlign w:val="center"/>
          </w:tcPr>
          <w:p w14:paraId="79CE3AFF">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40" w:type="dxa"/>
            <w:vAlign w:val="center"/>
          </w:tcPr>
          <w:p w14:paraId="5BC7C26B">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615" w:type="dxa"/>
            <w:vAlign w:val="center"/>
          </w:tcPr>
          <w:p w14:paraId="1AA7E9E3">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55" w:type="dxa"/>
            <w:vAlign w:val="center"/>
          </w:tcPr>
          <w:p w14:paraId="658355B4">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1800" w:type="dxa"/>
            <w:vAlign w:val="center"/>
          </w:tcPr>
          <w:p w14:paraId="1C55E64F">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r w14:paraId="350AD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Merge w:val="continue"/>
            <w:vAlign w:val="center"/>
          </w:tcPr>
          <w:p w14:paraId="0EADB139">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3912" w:type="dxa"/>
            <w:vAlign w:val="center"/>
          </w:tcPr>
          <w:p w14:paraId="1476E19D">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rPr>
              <w:t>竞赛日程科学、合理、规范</w:t>
            </w:r>
          </w:p>
        </w:tc>
        <w:tc>
          <w:tcPr>
            <w:tcW w:w="540" w:type="dxa"/>
            <w:vAlign w:val="center"/>
          </w:tcPr>
          <w:p w14:paraId="38AAA00C">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40" w:type="dxa"/>
            <w:vAlign w:val="center"/>
          </w:tcPr>
          <w:p w14:paraId="1044B600">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615" w:type="dxa"/>
            <w:vAlign w:val="center"/>
          </w:tcPr>
          <w:p w14:paraId="318D8F9D">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55" w:type="dxa"/>
            <w:vAlign w:val="center"/>
          </w:tcPr>
          <w:p w14:paraId="159151AF">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1800" w:type="dxa"/>
            <w:vAlign w:val="center"/>
          </w:tcPr>
          <w:p w14:paraId="6BDD670B">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r w14:paraId="0470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Merge w:val="continue"/>
            <w:vAlign w:val="center"/>
          </w:tcPr>
          <w:p w14:paraId="65F9D68A">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3912" w:type="dxa"/>
            <w:vAlign w:val="center"/>
          </w:tcPr>
          <w:p w14:paraId="436080FB">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rPr>
              <w:t>比赛过程设计科学合理</w:t>
            </w:r>
          </w:p>
        </w:tc>
        <w:tc>
          <w:tcPr>
            <w:tcW w:w="540" w:type="dxa"/>
            <w:vAlign w:val="center"/>
          </w:tcPr>
          <w:p w14:paraId="14C844FB">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40" w:type="dxa"/>
            <w:vAlign w:val="center"/>
          </w:tcPr>
          <w:p w14:paraId="26B3467F">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615" w:type="dxa"/>
            <w:vAlign w:val="center"/>
          </w:tcPr>
          <w:p w14:paraId="033BBDC0">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55" w:type="dxa"/>
            <w:vAlign w:val="center"/>
          </w:tcPr>
          <w:p w14:paraId="36176CBE">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1800" w:type="dxa"/>
            <w:vAlign w:val="center"/>
          </w:tcPr>
          <w:p w14:paraId="618A61DC">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r w14:paraId="30E0C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Merge w:val="continue"/>
            <w:vAlign w:val="center"/>
          </w:tcPr>
          <w:p w14:paraId="7C4D2422">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3912" w:type="dxa"/>
            <w:vAlign w:val="center"/>
          </w:tcPr>
          <w:p w14:paraId="27A7D733">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lang w:eastAsia="zh-CN"/>
              </w:rPr>
              <w:t>赛事组委会组织</w:t>
            </w:r>
            <w:r>
              <w:rPr>
                <w:rFonts w:hint="eastAsia" w:ascii="仿宋" w:hAnsi="仿宋" w:eastAsia="仿宋" w:cs="仿宋"/>
                <w:b w:val="0"/>
                <w:bCs/>
                <w:sz w:val="24"/>
                <w:szCs w:val="24"/>
              </w:rPr>
              <w:t>协调情况</w:t>
            </w:r>
          </w:p>
        </w:tc>
        <w:tc>
          <w:tcPr>
            <w:tcW w:w="540" w:type="dxa"/>
            <w:vAlign w:val="center"/>
          </w:tcPr>
          <w:p w14:paraId="157C8735">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40" w:type="dxa"/>
            <w:vAlign w:val="center"/>
          </w:tcPr>
          <w:p w14:paraId="69A3BB5B">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615" w:type="dxa"/>
            <w:vAlign w:val="center"/>
          </w:tcPr>
          <w:p w14:paraId="6DF33D70">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55" w:type="dxa"/>
            <w:vAlign w:val="center"/>
          </w:tcPr>
          <w:p w14:paraId="4715F81B">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1800" w:type="dxa"/>
            <w:vAlign w:val="center"/>
          </w:tcPr>
          <w:p w14:paraId="225C3466">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r w14:paraId="1F7E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Merge w:val="continue"/>
            <w:vAlign w:val="center"/>
          </w:tcPr>
          <w:p w14:paraId="4AE46EDF">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3912" w:type="dxa"/>
            <w:vAlign w:val="center"/>
          </w:tcPr>
          <w:p w14:paraId="7890907A">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lang w:eastAsia="zh-CN"/>
              </w:rPr>
              <w:t>赛事</w:t>
            </w:r>
            <w:r>
              <w:rPr>
                <w:rFonts w:hint="eastAsia" w:ascii="仿宋" w:hAnsi="仿宋" w:eastAsia="仿宋" w:cs="仿宋"/>
                <w:b w:val="0"/>
                <w:bCs/>
                <w:sz w:val="24"/>
                <w:szCs w:val="24"/>
              </w:rPr>
              <w:t>裁判队伍工作情况</w:t>
            </w:r>
          </w:p>
        </w:tc>
        <w:tc>
          <w:tcPr>
            <w:tcW w:w="540" w:type="dxa"/>
            <w:vAlign w:val="center"/>
          </w:tcPr>
          <w:p w14:paraId="2A67C8CA">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40" w:type="dxa"/>
            <w:vAlign w:val="center"/>
          </w:tcPr>
          <w:p w14:paraId="3B33C355">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615" w:type="dxa"/>
            <w:vAlign w:val="center"/>
          </w:tcPr>
          <w:p w14:paraId="567B69E5">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55" w:type="dxa"/>
            <w:vAlign w:val="center"/>
          </w:tcPr>
          <w:p w14:paraId="41F80F41">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1800" w:type="dxa"/>
            <w:vAlign w:val="center"/>
          </w:tcPr>
          <w:p w14:paraId="1BD0B450">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r w14:paraId="5FB0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Merge w:val="continue"/>
            <w:vAlign w:val="center"/>
          </w:tcPr>
          <w:p w14:paraId="40A25422">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3912" w:type="dxa"/>
            <w:vAlign w:val="center"/>
          </w:tcPr>
          <w:p w14:paraId="2A233541">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lang w:eastAsia="zh-CN"/>
              </w:rPr>
              <w:t>赛事</w:t>
            </w:r>
            <w:r>
              <w:rPr>
                <w:rFonts w:hint="eastAsia" w:ascii="仿宋" w:hAnsi="仿宋" w:eastAsia="仿宋" w:cs="仿宋"/>
                <w:b w:val="0"/>
                <w:bCs/>
                <w:sz w:val="24"/>
                <w:szCs w:val="24"/>
              </w:rPr>
              <w:t>制度建设与执行情况</w:t>
            </w:r>
          </w:p>
        </w:tc>
        <w:tc>
          <w:tcPr>
            <w:tcW w:w="540" w:type="dxa"/>
            <w:vAlign w:val="center"/>
          </w:tcPr>
          <w:p w14:paraId="0D20D9D1">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40" w:type="dxa"/>
            <w:vAlign w:val="center"/>
          </w:tcPr>
          <w:p w14:paraId="02B3B46D">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615" w:type="dxa"/>
            <w:vAlign w:val="center"/>
          </w:tcPr>
          <w:p w14:paraId="79DC1790">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55" w:type="dxa"/>
            <w:vAlign w:val="center"/>
          </w:tcPr>
          <w:p w14:paraId="4DA2F385">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1800" w:type="dxa"/>
            <w:vAlign w:val="center"/>
          </w:tcPr>
          <w:p w14:paraId="20A3D137">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r w14:paraId="7B7D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Merge w:val="continue"/>
            <w:vAlign w:val="center"/>
          </w:tcPr>
          <w:p w14:paraId="5BA100A3">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3912" w:type="dxa"/>
            <w:vAlign w:val="center"/>
          </w:tcPr>
          <w:p w14:paraId="71D340FF">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rPr>
              <w:t>赛项场地及设施情况</w:t>
            </w:r>
          </w:p>
        </w:tc>
        <w:tc>
          <w:tcPr>
            <w:tcW w:w="540" w:type="dxa"/>
            <w:vAlign w:val="center"/>
          </w:tcPr>
          <w:p w14:paraId="0C0EAC6A">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40" w:type="dxa"/>
            <w:vAlign w:val="center"/>
          </w:tcPr>
          <w:p w14:paraId="31E65228">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615" w:type="dxa"/>
            <w:vAlign w:val="center"/>
          </w:tcPr>
          <w:p w14:paraId="039918C5">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55" w:type="dxa"/>
            <w:vAlign w:val="center"/>
          </w:tcPr>
          <w:p w14:paraId="68A4DFCA">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1800" w:type="dxa"/>
            <w:vAlign w:val="center"/>
          </w:tcPr>
          <w:p w14:paraId="199AD083">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r w14:paraId="5E37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Merge w:val="continue"/>
            <w:vAlign w:val="center"/>
          </w:tcPr>
          <w:p w14:paraId="2A9037D3">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3912" w:type="dxa"/>
            <w:vAlign w:val="center"/>
          </w:tcPr>
          <w:p w14:paraId="7F1DDA66">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lang w:eastAsia="zh-CN"/>
              </w:rPr>
              <w:t>赛事</w:t>
            </w:r>
            <w:r>
              <w:rPr>
                <w:rFonts w:hint="eastAsia" w:ascii="仿宋" w:hAnsi="仿宋" w:eastAsia="仿宋" w:cs="仿宋"/>
                <w:b w:val="0"/>
                <w:bCs/>
                <w:sz w:val="24"/>
                <w:szCs w:val="24"/>
              </w:rPr>
              <w:t>工作人员情况</w:t>
            </w:r>
          </w:p>
        </w:tc>
        <w:tc>
          <w:tcPr>
            <w:tcW w:w="540" w:type="dxa"/>
            <w:vAlign w:val="center"/>
          </w:tcPr>
          <w:p w14:paraId="0EF2634F">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40" w:type="dxa"/>
            <w:vAlign w:val="center"/>
          </w:tcPr>
          <w:p w14:paraId="7DC0F66D">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615" w:type="dxa"/>
            <w:vAlign w:val="center"/>
          </w:tcPr>
          <w:p w14:paraId="079DABF6">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55" w:type="dxa"/>
            <w:vAlign w:val="center"/>
          </w:tcPr>
          <w:p w14:paraId="7ACFD50C">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1800" w:type="dxa"/>
            <w:vAlign w:val="center"/>
          </w:tcPr>
          <w:p w14:paraId="3ED4A6D9">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r w14:paraId="6C32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Merge w:val="restart"/>
            <w:vAlign w:val="center"/>
          </w:tcPr>
          <w:p w14:paraId="55A8B7E6">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赛事服务</w:t>
            </w:r>
          </w:p>
        </w:tc>
        <w:tc>
          <w:tcPr>
            <w:tcW w:w="3912" w:type="dxa"/>
            <w:vAlign w:val="center"/>
          </w:tcPr>
          <w:p w14:paraId="554276C8">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rPr>
              <w:t>承办单位接待服务</w:t>
            </w:r>
          </w:p>
        </w:tc>
        <w:tc>
          <w:tcPr>
            <w:tcW w:w="540" w:type="dxa"/>
            <w:vAlign w:val="center"/>
          </w:tcPr>
          <w:p w14:paraId="1E34F0FE">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40" w:type="dxa"/>
            <w:vAlign w:val="center"/>
          </w:tcPr>
          <w:p w14:paraId="440B834F">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615" w:type="dxa"/>
            <w:vAlign w:val="center"/>
          </w:tcPr>
          <w:p w14:paraId="0F3EEFE9">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55" w:type="dxa"/>
            <w:vAlign w:val="center"/>
          </w:tcPr>
          <w:p w14:paraId="30363ED8">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1800" w:type="dxa"/>
            <w:vAlign w:val="center"/>
          </w:tcPr>
          <w:p w14:paraId="4D16C79A">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r w14:paraId="070A8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Merge w:val="continue"/>
            <w:vAlign w:val="center"/>
          </w:tcPr>
          <w:p w14:paraId="6245DF69">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3912" w:type="dxa"/>
            <w:vAlign w:val="center"/>
          </w:tcPr>
          <w:p w14:paraId="5A483E57">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rPr>
              <w:t>承办单位人员态度</w:t>
            </w:r>
          </w:p>
        </w:tc>
        <w:tc>
          <w:tcPr>
            <w:tcW w:w="540" w:type="dxa"/>
            <w:vAlign w:val="center"/>
          </w:tcPr>
          <w:p w14:paraId="6C4B1732">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40" w:type="dxa"/>
            <w:vAlign w:val="center"/>
          </w:tcPr>
          <w:p w14:paraId="0930F247">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615" w:type="dxa"/>
            <w:vAlign w:val="center"/>
          </w:tcPr>
          <w:p w14:paraId="29A6E10D">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55" w:type="dxa"/>
            <w:vAlign w:val="center"/>
          </w:tcPr>
          <w:p w14:paraId="6BFD3564">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1800" w:type="dxa"/>
            <w:vAlign w:val="center"/>
          </w:tcPr>
          <w:p w14:paraId="723A840F">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r w14:paraId="379A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6" w:type="dxa"/>
            <w:vMerge w:val="continue"/>
            <w:vAlign w:val="center"/>
          </w:tcPr>
          <w:p w14:paraId="0E63DFE5">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3912" w:type="dxa"/>
            <w:vAlign w:val="center"/>
          </w:tcPr>
          <w:p w14:paraId="304196DA">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rPr>
              <w:t>赛场新闻报道及信息管理</w:t>
            </w:r>
          </w:p>
        </w:tc>
        <w:tc>
          <w:tcPr>
            <w:tcW w:w="540" w:type="dxa"/>
            <w:vAlign w:val="center"/>
          </w:tcPr>
          <w:p w14:paraId="3BB6B678">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40" w:type="dxa"/>
            <w:vAlign w:val="center"/>
          </w:tcPr>
          <w:p w14:paraId="05D33592">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615" w:type="dxa"/>
            <w:vAlign w:val="center"/>
          </w:tcPr>
          <w:p w14:paraId="09D0C2FE">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55" w:type="dxa"/>
            <w:vAlign w:val="center"/>
          </w:tcPr>
          <w:p w14:paraId="3A5C6D92">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1800" w:type="dxa"/>
            <w:vAlign w:val="center"/>
          </w:tcPr>
          <w:p w14:paraId="25B7B475">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r w14:paraId="42A2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38" w:type="dxa"/>
            <w:gridSpan w:val="2"/>
            <w:vAlign w:val="center"/>
          </w:tcPr>
          <w:p w14:paraId="6C702AAF">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赛事组织综合评价</w:t>
            </w:r>
          </w:p>
        </w:tc>
        <w:tc>
          <w:tcPr>
            <w:tcW w:w="540" w:type="dxa"/>
            <w:vAlign w:val="center"/>
          </w:tcPr>
          <w:p w14:paraId="0971B625">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40" w:type="dxa"/>
            <w:vAlign w:val="center"/>
          </w:tcPr>
          <w:p w14:paraId="030093D4">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615" w:type="dxa"/>
            <w:vAlign w:val="center"/>
          </w:tcPr>
          <w:p w14:paraId="0B3B883B">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555" w:type="dxa"/>
            <w:vAlign w:val="center"/>
          </w:tcPr>
          <w:p w14:paraId="416D28E9">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c>
          <w:tcPr>
            <w:tcW w:w="1800" w:type="dxa"/>
            <w:vAlign w:val="center"/>
          </w:tcPr>
          <w:p w14:paraId="5660C418">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r w14:paraId="72DE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9288" w:type="dxa"/>
            <w:gridSpan w:val="7"/>
            <w:vAlign w:val="center"/>
          </w:tcPr>
          <w:p w14:paraId="6BBFF087">
            <w:pPr>
              <w:keepNext w:val="0"/>
              <w:keepLines w:val="0"/>
              <w:pageBreakBefore w:val="0"/>
              <w:widowControl w:val="0"/>
              <w:kinsoku/>
              <w:wordWrap/>
              <w:overflowPunct/>
              <w:topLinePunct w:val="0"/>
              <w:autoSpaceDE/>
              <w:autoSpaceDN/>
              <w:bidi w:val="0"/>
              <w:adjustRightInd/>
              <w:spacing w:before="57" w:line="560" w:lineRule="exact"/>
              <w:ind w:right="106"/>
              <w:jc w:val="both"/>
              <w:rPr>
                <w:rFonts w:hint="eastAsia" w:ascii="仿宋" w:hAnsi="仿宋" w:eastAsia="仿宋" w:cs="仿宋"/>
                <w:b w:val="0"/>
                <w:bCs/>
                <w:sz w:val="24"/>
                <w:szCs w:val="24"/>
                <w:vertAlign w:val="baseline"/>
                <w:lang w:eastAsia="zh-CN"/>
              </w:rPr>
            </w:pPr>
            <w:r>
              <w:rPr>
                <w:rFonts w:hint="eastAsia" w:ascii="仿宋" w:hAnsi="仿宋" w:eastAsia="仿宋" w:cs="仿宋"/>
                <w:b w:val="0"/>
                <w:bCs/>
                <w:sz w:val="24"/>
                <w:szCs w:val="24"/>
                <w:vertAlign w:val="baseline"/>
                <w:lang w:eastAsia="zh-CN"/>
              </w:rPr>
              <w:t>评语及建议：</w:t>
            </w:r>
          </w:p>
          <w:p w14:paraId="4B7E009E">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p w14:paraId="390320D1">
            <w:pPr>
              <w:keepNext w:val="0"/>
              <w:keepLines w:val="0"/>
              <w:pageBreakBefore w:val="0"/>
              <w:widowControl w:val="0"/>
              <w:kinsoku/>
              <w:wordWrap/>
              <w:overflowPunct/>
              <w:topLinePunct w:val="0"/>
              <w:autoSpaceDE/>
              <w:autoSpaceDN/>
              <w:bidi w:val="0"/>
              <w:adjustRightInd/>
              <w:spacing w:before="57" w:line="560" w:lineRule="exact"/>
              <w:ind w:right="106"/>
              <w:jc w:val="center"/>
              <w:rPr>
                <w:rFonts w:hint="eastAsia" w:ascii="仿宋" w:hAnsi="仿宋" w:eastAsia="仿宋" w:cs="仿宋"/>
                <w:b w:val="0"/>
                <w:bCs/>
                <w:sz w:val="24"/>
                <w:szCs w:val="24"/>
                <w:vertAlign w:val="baseline"/>
                <w:lang w:eastAsia="zh-CN"/>
              </w:rPr>
            </w:pPr>
          </w:p>
        </w:tc>
      </w:tr>
    </w:tbl>
    <w:p w14:paraId="4CBF4A83">
      <w:pPr>
        <w:keepNext w:val="0"/>
        <w:keepLines w:val="0"/>
        <w:pageBreakBefore w:val="0"/>
        <w:widowControl w:val="0"/>
        <w:kinsoku/>
        <w:wordWrap/>
        <w:overflowPunct/>
        <w:topLinePunct w:val="0"/>
        <w:autoSpaceDE/>
        <w:autoSpaceDN/>
        <w:bidi w:val="0"/>
        <w:adjustRightInd/>
        <w:spacing w:line="560" w:lineRule="exact"/>
        <w:rPr>
          <w:b/>
          <w:bCs/>
          <w:sz w:val="28"/>
          <w:szCs w:val="36"/>
        </w:rPr>
      </w:pPr>
    </w:p>
    <w:sectPr>
      <w:footerReference r:id="rId3" w:type="default"/>
      <w:pgSz w:w="11906" w:h="16838"/>
      <w:pgMar w:top="1417"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6C642">
    <w:pPr>
      <w:pStyle w:val="3"/>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0D8B3A">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80D8B3A">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6B613F"/>
    <w:multiLevelType w:val="singleLevel"/>
    <w:tmpl w:val="5C6B613F"/>
    <w:lvl w:ilvl="0" w:tentative="0">
      <w:start w:val="2"/>
      <w:numFmt w:val="chineseCounting"/>
      <w:suff w:val="nothing"/>
      <w:lvlText w:val="（%1）"/>
      <w:lvlJc w:val="left"/>
      <w:rPr>
        <w:rFonts w:hint="eastAsia"/>
      </w:rPr>
    </w:lvl>
  </w:abstractNum>
  <w:abstractNum w:abstractNumId="1">
    <w:nsid w:val="6F0FA61B"/>
    <w:multiLevelType w:val="singleLevel"/>
    <w:tmpl w:val="6F0FA61B"/>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xZGY5MGMzYzgxOGNlMDNjZTllZGQ1ZWViZDFmMjgifQ=="/>
  </w:docVars>
  <w:rsids>
    <w:rsidRoot w:val="3C4A0655"/>
    <w:rsid w:val="00004ED1"/>
    <w:rsid w:val="003E628B"/>
    <w:rsid w:val="0050500F"/>
    <w:rsid w:val="00546870"/>
    <w:rsid w:val="00764066"/>
    <w:rsid w:val="00A365B6"/>
    <w:rsid w:val="00CA41E5"/>
    <w:rsid w:val="00D13647"/>
    <w:rsid w:val="00E93F03"/>
    <w:rsid w:val="01466216"/>
    <w:rsid w:val="018A1427"/>
    <w:rsid w:val="020E6AD8"/>
    <w:rsid w:val="04A9116D"/>
    <w:rsid w:val="05307365"/>
    <w:rsid w:val="05B30519"/>
    <w:rsid w:val="067E4035"/>
    <w:rsid w:val="06BE6766"/>
    <w:rsid w:val="0A0106F5"/>
    <w:rsid w:val="0DDC3DD2"/>
    <w:rsid w:val="14522278"/>
    <w:rsid w:val="159D1BC1"/>
    <w:rsid w:val="1A5D1977"/>
    <w:rsid w:val="1BA11DBE"/>
    <w:rsid w:val="1ED02718"/>
    <w:rsid w:val="1EF14802"/>
    <w:rsid w:val="23241D73"/>
    <w:rsid w:val="23F35CD6"/>
    <w:rsid w:val="28D22FB8"/>
    <w:rsid w:val="2DA525D4"/>
    <w:rsid w:val="2EFF0321"/>
    <w:rsid w:val="302E3742"/>
    <w:rsid w:val="319370B0"/>
    <w:rsid w:val="35F85EAD"/>
    <w:rsid w:val="388F2CF2"/>
    <w:rsid w:val="3A510D71"/>
    <w:rsid w:val="3C4A0655"/>
    <w:rsid w:val="41C41B4F"/>
    <w:rsid w:val="42EC0BC2"/>
    <w:rsid w:val="438D0328"/>
    <w:rsid w:val="44330ECF"/>
    <w:rsid w:val="44D2448D"/>
    <w:rsid w:val="45B35CA8"/>
    <w:rsid w:val="4B285A08"/>
    <w:rsid w:val="4D481DEB"/>
    <w:rsid w:val="4E340233"/>
    <w:rsid w:val="4F0B4737"/>
    <w:rsid w:val="56364809"/>
    <w:rsid w:val="61491DE1"/>
    <w:rsid w:val="61720E31"/>
    <w:rsid w:val="62CA1CDC"/>
    <w:rsid w:val="658B7D4C"/>
    <w:rsid w:val="664F71B3"/>
    <w:rsid w:val="6AEB57B0"/>
    <w:rsid w:val="717A144C"/>
    <w:rsid w:val="7EC3138C"/>
    <w:rsid w:val="FDF76F5E"/>
    <w:rsid w:val="FFDB4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w:basedOn w:val="1"/>
    <w:autoRedefine/>
    <w:qFormat/>
    <w:uiPriority w:val="0"/>
    <w:pPr>
      <w:spacing w:after="120"/>
    </w:pPr>
  </w:style>
  <w:style w:type="paragraph" w:styleId="4">
    <w:name w:val="footer"/>
    <w:basedOn w:val="1"/>
    <w:link w:val="13"/>
    <w:autoRedefine/>
    <w:qFormat/>
    <w:uiPriority w:val="0"/>
    <w:pPr>
      <w:tabs>
        <w:tab w:val="center" w:pos="4153"/>
        <w:tab w:val="right" w:pos="8306"/>
      </w:tabs>
      <w:snapToGrid w:val="0"/>
      <w:jc w:val="left"/>
    </w:pPr>
    <w:rPr>
      <w:rFonts w:eastAsia="宋体"/>
      <w:szCs w:val="18"/>
    </w:rPr>
  </w:style>
  <w:style w:type="paragraph" w:styleId="5">
    <w:name w:val="header"/>
    <w:basedOn w:val="1"/>
    <w:link w:val="14"/>
    <w:autoRedefine/>
    <w:qFormat/>
    <w:uiPriority w:val="0"/>
    <w:pPr>
      <w:pBdr>
        <w:bottom w:val="single" w:color="auto" w:sz="6" w:space="1"/>
      </w:pBdr>
      <w:tabs>
        <w:tab w:val="center" w:pos="4153"/>
        <w:tab w:val="right" w:pos="8306"/>
      </w:tabs>
      <w:snapToGrid w:val="0"/>
      <w:jc w:val="center"/>
    </w:pPr>
    <w:rPr>
      <w:rFonts w:eastAsia="宋体"/>
      <w:szCs w:val="18"/>
    </w:rPr>
  </w:style>
  <w:style w:type="paragraph" w:styleId="6">
    <w:name w:val="footnote text"/>
    <w:basedOn w:val="7"/>
    <w:link w:val="15"/>
    <w:autoRedefine/>
    <w:qFormat/>
    <w:uiPriority w:val="0"/>
    <w:pPr>
      <w:snapToGrid w:val="0"/>
    </w:pPr>
    <w:rPr>
      <w:rFonts w:eastAsia="宋体"/>
      <w:szCs w:val="18"/>
    </w:rPr>
  </w:style>
  <w:style w:type="paragraph" w:styleId="7">
    <w:name w:val="Body Text First Indent"/>
    <w:basedOn w:val="3"/>
    <w:autoRedefine/>
    <w:qFormat/>
    <w:uiPriority w:val="0"/>
    <w:pPr>
      <w:ind w:firstLine="420" w:firstLineChars="100"/>
    </w:pPr>
  </w:style>
  <w:style w:type="paragraph" w:styleId="8">
    <w:name w:val="Normal (Web)"/>
    <w:basedOn w:val="1"/>
    <w:autoRedefine/>
    <w:qFormat/>
    <w:uiPriority w:val="0"/>
    <w:pPr>
      <w:spacing w:beforeAutospacing="1" w:afterAutospacing="1"/>
      <w:jc w:val="left"/>
    </w:pPr>
    <w:rPr>
      <w:rFonts w:cs="Times New Roman"/>
      <w:kern w:val="0"/>
      <w:sz w:val="24"/>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autoRedefine/>
    <w:qFormat/>
    <w:uiPriority w:val="0"/>
    <w:rPr>
      <w:b/>
    </w:rPr>
  </w:style>
  <w:style w:type="character" w:customStyle="1" w:styleId="13">
    <w:name w:val="页脚 字符"/>
    <w:basedOn w:val="11"/>
    <w:link w:val="4"/>
    <w:autoRedefine/>
    <w:qFormat/>
    <w:uiPriority w:val="99"/>
    <w:rPr>
      <w:rFonts w:eastAsia="宋体" w:asciiTheme="minorHAnsi" w:hAnsiTheme="minorHAnsi"/>
      <w:sz w:val="21"/>
      <w:szCs w:val="18"/>
    </w:rPr>
  </w:style>
  <w:style w:type="character" w:customStyle="1" w:styleId="14">
    <w:name w:val="页眉 字符"/>
    <w:basedOn w:val="11"/>
    <w:link w:val="5"/>
    <w:autoRedefine/>
    <w:qFormat/>
    <w:uiPriority w:val="99"/>
    <w:rPr>
      <w:rFonts w:eastAsia="宋体" w:asciiTheme="minorHAnsi" w:hAnsiTheme="minorHAnsi"/>
      <w:sz w:val="21"/>
      <w:szCs w:val="18"/>
    </w:rPr>
  </w:style>
  <w:style w:type="character" w:customStyle="1" w:styleId="15">
    <w:name w:val="脚注文本 字符"/>
    <w:basedOn w:val="11"/>
    <w:link w:val="6"/>
    <w:autoRedefine/>
    <w:semiHidden/>
    <w:qFormat/>
    <w:uiPriority w:val="99"/>
    <w:rPr>
      <w:rFonts w:eastAsia="宋体" w:asciiTheme="minorHAnsi" w:hAnsiTheme="minorHAnsi"/>
      <w:sz w:val="21"/>
      <w:szCs w:val="18"/>
    </w:rPr>
  </w:style>
  <w:style w:type="paragraph" w:customStyle="1" w:styleId="16">
    <w:name w:val="Table Paragraph"/>
    <w:basedOn w:val="1"/>
    <w:qFormat/>
    <w:uiPriority w:val="1"/>
    <w:rPr>
      <w:rFonts w:ascii="仿宋" w:hAnsi="仿宋" w:eastAsia="仿宋" w:cs="仿宋"/>
    </w:rPr>
  </w:style>
  <w:style w:type="paragraph" w:styleId="17">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2c0f1f5b-3b41-4351-a0fb-b88de57ca3d6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24B28DE9</paraID>
      <start>14</start>
      <end>15</end>
      <status>unmodified</status>
      <modifiedWord/>
      <trackRevisions>false</trackRevisions>
    </reviewItem>
    <reviewItem>
      <errorID>6df7cd2e-2e95-4e5b-9e36-d2bc5efdd09e</errorID>
      <errorWord>况的出现</errorWord>
      <group>L1_Grammar</group>
      <groupName>语法问题</groupName>
      <ability>L2_Redundancy</ability>
      <abilityName>成分冗余</abilityName>
      <candidateList>
        <item>况</item>
      </candidateList>
      <explain>句子中可能存在主语、谓语、定语等成分的赘余或重复。</explain>
      <paraID>24B28DE9</paraID>
      <start>55</start>
      <end>59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43770d-f14e-4ce3-8b6f-9fb98a6ee534}">
  <ds:schemaRefs/>
</ds:datastoreItem>
</file>

<file path=docProps/app.xml><?xml version="1.0" encoding="utf-8"?>
<Properties xmlns="http://schemas.openxmlformats.org/officeDocument/2006/extended-properties" xmlns:vt="http://schemas.openxmlformats.org/officeDocument/2006/docPropsVTypes">
  <Template>Normal</Template>
  <Pages>8</Pages>
  <Words>2872</Words>
  <Characters>2913</Characters>
  <Lines>21</Lines>
  <Paragraphs>6</Paragraphs>
  <TotalTime>26</TotalTime>
  <ScaleCrop>false</ScaleCrop>
  <LinksUpToDate>false</LinksUpToDate>
  <CharactersWithSpaces>3025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2021-07-23T00:02:00Z</dcterms:created>
  <dc:creator>王维燕</dc:creator>
  <cp:lastModifiedBy>韩倩</cp:lastModifiedBy>
  <dcterms:modified xsi:type="dcterms:W3CDTF">2026-09-17T07:55:45Z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2E18971CD44D490586BBDBA35620325A_13</vt:lpwstr>
  </property>
  <property fmtid="{D5CDD505-2E9C-101B-9397-08002B2CF9AE}" pid="4" name="KSOTemplateDocerSaveRecord">
    <vt:lpwstr>eyJoZGlkIjoiNGQ5ODQ2Nzk2ZGI3NDgxNWY3NzA1MDVkZmI5ODNkYjYiLCJ1c2VySWQiOiIyMzgwNDcxOTYifQ==</vt:lpwstr>
  </property>
</Properties>
</file>