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D1643">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p>
    <w:p w14:paraId="353735E8">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p>
    <w:p w14:paraId="307655F9">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p>
    <w:p w14:paraId="3D1A3E2D">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p>
    <w:p w14:paraId="37771451">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p>
    <w:p w14:paraId="06290469">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p>
    <w:p w14:paraId="609543A0">
      <w:pPr>
        <w:keepNext w:val="0"/>
        <w:keepLines w:val="0"/>
        <w:pageBreakBefore w:val="0"/>
        <w:widowControl w:val="0"/>
        <w:kinsoku/>
        <w:wordWrap/>
        <w:overflowPunct/>
        <w:topLinePunct w:val="0"/>
        <w:autoSpaceDE/>
        <w:autoSpaceDN/>
        <w:bidi w:val="0"/>
        <w:adjustRightInd/>
        <w:snapToGrid w:val="0"/>
        <w:spacing w:after="625" w:afterLines="200" w:line="560" w:lineRule="exact"/>
        <w:jc w:val="center"/>
        <w:textAlignment w:val="auto"/>
        <w:rPr>
          <w:rFonts w:hint="eastAsia" w:ascii="方正小标宋简体" w:hAnsi="方正小标宋简体" w:eastAsia="方正小标宋简体" w:cs="方正小标宋简体"/>
          <w:b w:val="0"/>
          <w:bCs w:val="0"/>
          <w:color w:val="auto"/>
          <w:sz w:val="52"/>
          <w:szCs w:val="52"/>
          <w:lang w:val="en-US" w:eastAsia="zh-CN"/>
        </w:rPr>
      </w:pPr>
      <w:r>
        <w:rPr>
          <w:rFonts w:hint="eastAsia" w:ascii="方正小标宋简体" w:hAnsi="方正小标宋简体" w:eastAsia="方正小标宋简体" w:cs="方正小标宋简体"/>
          <w:b w:val="0"/>
          <w:bCs w:val="0"/>
          <w:color w:val="auto"/>
          <w:sz w:val="52"/>
          <w:szCs w:val="52"/>
          <w:lang w:val="en-US" w:eastAsia="zh-CN"/>
        </w:rPr>
        <w:t>中国全民健身走（跑）大赛</w:t>
      </w:r>
    </w:p>
    <w:p w14:paraId="420D3B4D">
      <w:pPr>
        <w:keepNext w:val="0"/>
        <w:keepLines w:val="0"/>
        <w:pageBreakBefore w:val="0"/>
        <w:widowControl w:val="0"/>
        <w:kinsoku/>
        <w:wordWrap/>
        <w:overflowPunct/>
        <w:topLinePunct w:val="0"/>
        <w:autoSpaceDE/>
        <w:autoSpaceDN/>
        <w:bidi w:val="0"/>
        <w:adjustRightInd/>
        <w:snapToGrid w:val="0"/>
        <w:spacing w:after="625" w:afterLines="200" w:line="560" w:lineRule="exact"/>
        <w:jc w:val="center"/>
        <w:textAlignment w:val="auto"/>
        <w:rPr>
          <w:rFonts w:hint="default"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52"/>
          <w:szCs w:val="52"/>
          <w:lang w:val="en-US" w:eastAsia="zh-CN"/>
        </w:rPr>
        <w:t>办赛指南</w:t>
      </w:r>
    </w:p>
    <w:p w14:paraId="594C7B23">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p>
    <w:p w14:paraId="51CBBE79">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p>
    <w:p w14:paraId="3BE4511F">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p>
    <w:p w14:paraId="714C911B">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p>
    <w:p w14:paraId="38713C42">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p>
    <w:p w14:paraId="4F9FEFC7">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p>
    <w:p w14:paraId="554EB8B0">
      <w:pPr>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val="0"/>
          <w:color w:val="auto"/>
          <w:sz w:val="28"/>
          <w:szCs w:val="28"/>
          <w:lang w:val="en-US" w:eastAsia="zh-CN"/>
        </w:rPr>
      </w:pPr>
    </w:p>
    <w:p w14:paraId="2C164B71">
      <w:pPr>
        <w:keepNext w:val="0"/>
        <w:keepLines w:val="0"/>
        <w:pageBreakBefore w:val="0"/>
        <w:kinsoku/>
        <w:wordWrap/>
        <w:overflowPunct/>
        <w:topLinePunct w:val="0"/>
        <w:bidi w:val="0"/>
        <w:adjustRightInd/>
        <w:snapToGrid/>
        <w:spacing w:line="560" w:lineRule="exact"/>
        <w:jc w:val="center"/>
        <w:textAlignment w:val="auto"/>
        <w:rPr>
          <w:rFonts w:hint="eastAsia" w:ascii="黑体" w:hAnsi="黑体" w:eastAsia="黑体" w:cs="黑体"/>
          <w:b w:val="0"/>
          <w:bCs w:val="0"/>
          <w:color w:val="auto"/>
          <w:sz w:val="28"/>
          <w:szCs w:val="28"/>
          <w:lang w:val="en-US" w:eastAsia="zh-CN"/>
        </w:rPr>
      </w:pPr>
    </w:p>
    <w:p w14:paraId="6FC10480">
      <w:pPr>
        <w:keepNext w:val="0"/>
        <w:keepLines w:val="0"/>
        <w:pageBreakBefore w:val="0"/>
        <w:kinsoku/>
        <w:wordWrap/>
        <w:overflowPunct/>
        <w:topLinePunct w:val="0"/>
        <w:bidi w:val="0"/>
        <w:adjustRightInd/>
        <w:snapToGrid/>
        <w:spacing w:line="560" w:lineRule="exact"/>
        <w:jc w:val="center"/>
        <w:textAlignment w:val="auto"/>
        <w:rPr>
          <w:rFonts w:hint="default"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2025年3月</w:t>
      </w:r>
    </w:p>
    <w:p w14:paraId="34ED6381">
      <w:pPr>
        <w:keepNext w:val="0"/>
        <w:keepLines w:val="0"/>
        <w:pageBreakBefore w:val="0"/>
        <w:kinsoku/>
        <w:wordWrap/>
        <w:overflowPunct/>
        <w:topLinePunct w:val="0"/>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0"/>
          <w:szCs w:val="40"/>
          <w:lang w:val="en-US" w:eastAsia="zh-CN"/>
        </w:rPr>
      </w:pPr>
    </w:p>
    <w:p w14:paraId="4FEE2690">
      <w:pPr>
        <w:keepNext w:val="0"/>
        <w:keepLines w:val="0"/>
        <w:pageBreakBefore w:val="0"/>
        <w:kinsoku/>
        <w:wordWrap/>
        <w:overflowPunct/>
        <w:topLinePunct w:val="0"/>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0"/>
          <w:szCs w:val="40"/>
          <w:lang w:val="en-US" w:eastAsia="zh-CN"/>
        </w:rPr>
      </w:pPr>
    </w:p>
    <w:p w14:paraId="3075442A">
      <w:pPr>
        <w:keepNext w:val="0"/>
        <w:keepLines w:val="0"/>
        <w:pageBreakBefore w:val="0"/>
        <w:kinsoku/>
        <w:wordWrap/>
        <w:overflowPunct/>
        <w:topLinePunct w:val="0"/>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0"/>
          <w:szCs w:val="40"/>
          <w:lang w:val="en-US" w:eastAsia="zh-CN"/>
        </w:rPr>
      </w:pPr>
    </w:p>
    <w:p w14:paraId="68483F63">
      <w:pPr>
        <w:keepNext w:val="0"/>
        <w:keepLines w:val="0"/>
        <w:pageBreakBefore w:val="0"/>
        <w:kinsoku/>
        <w:wordWrap/>
        <w:overflowPunct/>
        <w:topLinePunct w:val="0"/>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0"/>
          <w:szCs w:val="40"/>
          <w:lang w:val="en-US" w:eastAsia="zh-CN"/>
        </w:rPr>
      </w:pPr>
    </w:p>
    <w:p w14:paraId="19F97ED1">
      <w:pPr>
        <w:keepNext w:val="0"/>
        <w:keepLines w:val="0"/>
        <w:pageBreakBefore w:val="0"/>
        <w:kinsoku/>
        <w:wordWrap/>
        <w:overflowPunct/>
        <w:topLinePunct w:val="0"/>
        <w:bidi w:val="0"/>
        <w:adjustRightInd/>
        <w:snapToGrid/>
        <w:spacing w:line="560" w:lineRule="exact"/>
        <w:jc w:val="center"/>
        <w:textAlignment w:val="auto"/>
        <w:rPr>
          <w:rFonts w:hint="default" w:ascii="方正小标宋简体" w:hAnsi="方正小标宋简体" w:eastAsia="方正小标宋简体" w:cs="方正小标宋简体"/>
          <w:b w:val="0"/>
          <w:bCs w:val="0"/>
          <w:color w:val="auto"/>
          <w:sz w:val="40"/>
          <w:szCs w:val="40"/>
          <w:lang w:val="en-US" w:eastAsia="zh-CN"/>
        </w:rPr>
      </w:pPr>
    </w:p>
    <w:p w14:paraId="6F8D60F2">
      <w:pPr>
        <w:keepNext w:val="0"/>
        <w:keepLines w:val="0"/>
        <w:pageBreakBefore w:val="0"/>
        <w:kinsoku/>
        <w:wordWrap/>
        <w:overflowPunct/>
        <w:topLinePunct w:val="0"/>
        <w:bidi w:val="0"/>
        <w:adjustRightInd/>
        <w:snapToGrid/>
        <w:spacing w:line="560" w:lineRule="exact"/>
        <w:jc w:val="center"/>
        <w:textAlignment w:val="auto"/>
        <w:rPr>
          <w:rFonts w:hint="eastAsia" w:ascii="方正小标宋简体" w:hAnsi="方正小标宋简体" w:eastAsia="方正小标宋简体" w:cs="方正小标宋简体"/>
          <w:b w:val="0"/>
          <w:bCs w:val="0"/>
          <w:color w:val="auto"/>
          <w:sz w:val="40"/>
          <w:szCs w:val="40"/>
          <w:lang w:val="en-US" w:eastAsia="zh-CN"/>
        </w:rPr>
      </w:pPr>
      <w:r>
        <w:rPr>
          <w:rFonts w:hint="eastAsia" w:ascii="方正小标宋简体" w:hAnsi="方正小标宋简体" w:eastAsia="方正小标宋简体" w:cs="方正小标宋简体"/>
          <w:b w:val="0"/>
          <w:bCs w:val="0"/>
          <w:color w:val="auto"/>
          <w:sz w:val="40"/>
          <w:szCs w:val="40"/>
          <w:lang w:val="en-US" w:eastAsia="zh-CN"/>
        </w:rPr>
        <w:t>目录</w:t>
      </w:r>
    </w:p>
    <w:p w14:paraId="1E91278B">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方正小标宋简体" w:hAnsi="方正小标宋简体" w:eastAsia="方正小标宋简体" w:cs="方正小标宋简体"/>
          <w:b w:val="0"/>
          <w:bCs w:val="0"/>
          <w:color w:val="auto"/>
          <w:sz w:val="40"/>
          <w:szCs w:val="40"/>
          <w:lang w:val="en-US" w:eastAsia="zh-CN"/>
        </w:rPr>
      </w:pPr>
    </w:p>
    <w:p w14:paraId="69E48A14">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kern w:val="2"/>
          <w:sz w:val="21"/>
          <w:szCs w:val="21"/>
          <w:lang w:val="en-US" w:eastAsia="zh-CN" w:bidi="ar-SA"/>
        </w:rPr>
        <w:t>一、</w:t>
      </w:r>
      <w:r>
        <w:rPr>
          <w:rFonts w:hint="eastAsia" w:ascii="仿宋" w:hAnsi="仿宋" w:eastAsia="仿宋" w:cs="仿宋"/>
          <w:b w:val="0"/>
          <w:bCs w:val="0"/>
          <w:color w:val="auto"/>
          <w:sz w:val="21"/>
          <w:szCs w:val="21"/>
          <w:lang w:val="en-US" w:eastAsia="zh-CN"/>
        </w:rPr>
        <w:t>前言和指导思想............................................................5</w:t>
      </w:r>
    </w:p>
    <w:p w14:paraId="4554055F">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（一）赛事类别................................................................5</w:t>
      </w:r>
    </w:p>
    <w:p w14:paraId="05603197">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（二）适用范围................................................................5</w:t>
      </w:r>
    </w:p>
    <w:p w14:paraId="3BC48C88">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二、赛事组织..................................................................6</w:t>
      </w:r>
    </w:p>
    <w:p w14:paraId="04266ED4">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（一）赛事申办与立项..........................................................6</w:t>
      </w:r>
    </w:p>
    <w:p w14:paraId="2B4E1FF7">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（二）组织者具备的能力与资质..................................................8</w:t>
      </w:r>
    </w:p>
    <w:p w14:paraId="1EAF7F57">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（三）组织机构和人员..........................................................8</w:t>
      </w:r>
    </w:p>
    <w:p w14:paraId="0E9EF4AF">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（四）赛事秩序册.............................................................11</w:t>
      </w:r>
    </w:p>
    <w:p w14:paraId="5D82630A">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（五）赛事技术运行...........................................................12</w:t>
      </w:r>
    </w:p>
    <w:p w14:paraId="2737DB29">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（六）运动员服务.............................................................12</w:t>
      </w:r>
    </w:p>
    <w:p w14:paraId="2560B7B8">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（七）赛事裁判员.............................................................13</w:t>
      </w:r>
    </w:p>
    <w:p w14:paraId="12ABDE2E">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（八）赛事志愿者.............................................................13</w:t>
      </w:r>
    </w:p>
    <w:p w14:paraId="6AFBEA56">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（八）赛前训练与热身适应场地.................................................13</w:t>
      </w:r>
    </w:p>
    <w:p w14:paraId="04C899EF">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（九）赛前技术会..............................................................14</w:t>
      </w:r>
    </w:p>
    <w:p w14:paraId="293CFE7A">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（十）参赛装备检验...........................................................15</w:t>
      </w:r>
    </w:p>
    <w:p w14:paraId="4477FEC2">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（十一）赛事成绩管理.........................................................16</w:t>
      </w:r>
    </w:p>
    <w:p w14:paraId="35281C1B">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（十二）气象保障.............................................................16</w:t>
      </w:r>
    </w:p>
    <w:p w14:paraId="51A01AD0">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（十三）通信保障.............................................................17</w:t>
      </w:r>
    </w:p>
    <w:p w14:paraId="7DDD9145">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（十四）赛事保险.............................................................17</w:t>
      </w:r>
    </w:p>
    <w:p w14:paraId="49C14914">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（十五）赛风赛纪与反兴奋剂注意事项............................................17</w:t>
      </w:r>
    </w:p>
    <w:p w14:paraId="041662D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三、安全与应急管理...........................................................19</w:t>
      </w:r>
    </w:p>
    <w:p w14:paraId="76B9D18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（一）比赛特点与安全风险概述.................................................19</w:t>
      </w:r>
    </w:p>
    <w:p w14:paraId="7EDB6BC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（二）参赛风险教育...........................................................19</w:t>
      </w:r>
    </w:p>
    <w:p w14:paraId="150D8FD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（三）参赛资格审查...........................................................20</w:t>
      </w:r>
    </w:p>
    <w:p w14:paraId="18F02D4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（四）参赛保险确认...........................................................20</w:t>
      </w:r>
    </w:p>
    <w:p w14:paraId="462E226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default" w:ascii="仿宋" w:hAnsi="仿宋" w:eastAsia="仿宋" w:cs="仿宋"/>
          <w:b w:val="0"/>
          <w:bCs w:val="0"/>
          <w:color w:val="auto"/>
          <w:sz w:val="21"/>
          <w:szCs w:val="21"/>
          <w:lang w:val="en-US" w:eastAsia="zh-CN"/>
        </w:rPr>
        <w:t>（五）保险支持</w:t>
      </w:r>
      <w:r>
        <w:rPr>
          <w:rFonts w:hint="eastAsia" w:ascii="仿宋" w:hAnsi="仿宋" w:eastAsia="仿宋" w:cs="仿宋"/>
          <w:b w:val="0"/>
          <w:bCs w:val="0"/>
          <w:color w:val="auto"/>
          <w:sz w:val="21"/>
          <w:szCs w:val="21"/>
          <w:lang w:val="en-US" w:eastAsia="zh-CN"/>
        </w:rPr>
        <w:t>...............................................................21</w:t>
      </w:r>
    </w:p>
    <w:p w14:paraId="79DE71E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default" w:ascii="仿宋" w:hAnsi="仿宋" w:eastAsia="仿宋" w:cs="仿宋"/>
          <w:b w:val="0"/>
          <w:bCs w:val="0"/>
          <w:color w:val="auto"/>
          <w:sz w:val="21"/>
          <w:szCs w:val="21"/>
          <w:lang w:val="en-US" w:eastAsia="zh-CN"/>
        </w:rPr>
        <w:t>（六）赛中安保、交通、消防、安监、气象、通信、食品安全、医疗急救、赛场安全等应急保障</w:t>
      </w:r>
      <w:r>
        <w:rPr>
          <w:rFonts w:hint="eastAsia" w:ascii="仿宋" w:hAnsi="仿宋" w:eastAsia="仿宋" w:cs="仿宋"/>
          <w:b w:val="0"/>
          <w:bCs w:val="0"/>
          <w:color w:val="auto"/>
          <w:sz w:val="21"/>
          <w:szCs w:val="21"/>
          <w:lang w:val="en-US" w:eastAsia="zh-CN"/>
        </w:rPr>
        <w:t>.........................................................................21</w:t>
      </w:r>
    </w:p>
    <w:p w14:paraId="2A05307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default" w:ascii="仿宋" w:hAnsi="仿宋" w:eastAsia="仿宋" w:cs="仿宋"/>
          <w:b w:val="0"/>
          <w:bCs w:val="0"/>
          <w:color w:val="auto"/>
          <w:sz w:val="21"/>
          <w:szCs w:val="21"/>
          <w:lang w:val="en-US" w:eastAsia="zh-CN"/>
        </w:rPr>
        <w:t>（七）应急指挥</w:t>
      </w:r>
      <w:r>
        <w:rPr>
          <w:rFonts w:hint="eastAsia" w:ascii="仿宋" w:hAnsi="仿宋" w:eastAsia="仿宋" w:cs="仿宋"/>
          <w:b w:val="0"/>
          <w:bCs w:val="0"/>
          <w:color w:val="auto"/>
          <w:sz w:val="21"/>
          <w:szCs w:val="21"/>
          <w:lang w:val="en-US" w:eastAsia="zh-CN"/>
        </w:rPr>
        <w:t>...............................................................24</w:t>
      </w:r>
    </w:p>
    <w:p w14:paraId="302B23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default" w:ascii="仿宋" w:hAnsi="仿宋" w:eastAsia="仿宋" w:cs="仿宋"/>
          <w:b w:val="0"/>
          <w:bCs w:val="0"/>
          <w:color w:val="auto"/>
          <w:sz w:val="21"/>
          <w:szCs w:val="21"/>
          <w:lang w:val="en-US" w:eastAsia="zh-CN"/>
        </w:rPr>
        <w:t>（八）预案与演练</w:t>
      </w:r>
      <w:r>
        <w:rPr>
          <w:rFonts w:hint="eastAsia" w:ascii="仿宋" w:hAnsi="仿宋" w:eastAsia="仿宋" w:cs="仿宋"/>
          <w:b w:val="0"/>
          <w:bCs w:val="0"/>
          <w:color w:val="auto"/>
          <w:sz w:val="21"/>
          <w:szCs w:val="21"/>
          <w:lang w:val="en-US" w:eastAsia="zh-CN"/>
        </w:rPr>
        <w:t>.............................................................25</w:t>
      </w:r>
    </w:p>
    <w:p w14:paraId="3173405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default" w:ascii="仿宋" w:hAnsi="仿宋" w:eastAsia="仿宋" w:cs="仿宋"/>
          <w:b w:val="0"/>
          <w:bCs w:val="0"/>
          <w:color w:val="auto"/>
          <w:sz w:val="21"/>
          <w:szCs w:val="21"/>
          <w:lang w:val="en-US" w:eastAsia="zh-CN"/>
        </w:rPr>
        <w:t>（九）疏散计划</w:t>
      </w:r>
      <w:r>
        <w:rPr>
          <w:rFonts w:hint="eastAsia" w:ascii="仿宋" w:hAnsi="仿宋" w:eastAsia="仿宋" w:cs="仿宋"/>
          <w:b w:val="0"/>
          <w:bCs w:val="0"/>
          <w:color w:val="auto"/>
          <w:sz w:val="21"/>
          <w:szCs w:val="21"/>
          <w:lang w:val="en-US" w:eastAsia="zh-CN"/>
        </w:rPr>
        <w:t>...............................................................26</w:t>
      </w:r>
    </w:p>
    <w:p w14:paraId="2D38B91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default" w:ascii="仿宋" w:hAnsi="仿宋" w:eastAsia="仿宋" w:cs="仿宋"/>
          <w:b w:val="0"/>
          <w:bCs w:val="0"/>
          <w:color w:val="auto"/>
          <w:sz w:val="21"/>
          <w:szCs w:val="21"/>
          <w:lang w:val="en-US" w:eastAsia="zh-CN"/>
        </w:rPr>
        <w:t>（十）极端天气状况的应对</w:t>
      </w:r>
      <w:r>
        <w:rPr>
          <w:rFonts w:hint="eastAsia" w:ascii="仿宋" w:hAnsi="仿宋" w:eastAsia="仿宋" w:cs="仿宋"/>
          <w:b w:val="0"/>
          <w:bCs w:val="0"/>
          <w:color w:val="auto"/>
          <w:sz w:val="21"/>
          <w:szCs w:val="21"/>
          <w:lang w:val="en-US" w:eastAsia="zh-CN"/>
        </w:rPr>
        <w:t>.....................................................26</w:t>
      </w:r>
    </w:p>
    <w:p w14:paraId="29D17AD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四、熔断机制..................................................................27</w:t>
      </w:r>
    </w:p>
    <w:p w14:paraId="600923A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（一）启动条件...............................................................27</w:t>
      </w:r>
    </w:p>
    <w:p w14:paraId="05FD9F0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（二）信息上报制度...........................................................28</w:t>
      </w:r>
    </w:p>
    <w:p w14:paraId="773B99F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（三）运行程序...............................................................28</w:t>
      </w:r>
    </w:p>
    <w:p w14:paraId="5AB1303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（四）管理指挥体系...........................................................29</w:t>
      </w:r>
    </w:p>
    <w:p w14:paraId="1441833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（五）处置措施...............................................................29</w:t>
      </w:r>
    </w:p>
    <w:p w14:paraId="1A190F9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（六）法律后果...............................................................29</w:t>
      </w:r>
    </w:p>
    <w:p w14:paraId="2C5BF28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五、新闻宣传与舆情管理.......................................................29</w:t>
      </w:r>
    </w:p>
    <w:p w14:paraId="10B9CFB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（一）新闻宣传渠道与类型.....................................................29</w:t>
      </w:r>
    </w:p>
    <w:p w14:paraId="14D3B0D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（二）新闻宣传工作原则、价值观...............................................30</w:t>
      </w:r>
    </w:p>
    <w:p w14:paraId="37E18B7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（三）舆情管理工作政策.......................................................31</w:t>
      </w:r>
    </w:p>
    <w:p w14:paraId="6AF9C07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六、场地设施.................................................................32</w:t>
      </w:r>
    </w:p>
    <w:p w14:paraId="7755253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（一）各功能区场地设施要求...................................................32</w:t>
      </w:r>
    </w:p>
    <w:p w14:paraId="40580F7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（二）各功能区器材配置要求...................................................34</w:t>
      </w:r>
    </w:p>
    <w:p w14:paraId="0615440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（三）运行赛事活动流线的设计.................................................35</w:t>
      </w:r>
    </w:p>
    <w:p w14:paraId="640291A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（四）赛事器材...............................................................36</w:t>
      </w:r>
    </w:p>
    <w:p w14:paraId="51D67FA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（五）临时设施...............................................................37</w:t>
      </w:r>
    </w:p>
    <w:p w14:paraId="153F1F5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（六）安保设施...............................................................37</w:t>
      </w:r>
    </w:p>
    <w:p w14:paraId="1C735CC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（七）安监设施...............................................................38</w:t>
      </w:r>
    </w:p>
    <w:p w14:paraId="2194B97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（八）消防设施...............................................................38</w:t>
      </w:r>
    </w:p>
    <w:p w14:paraId="30A43DF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（九）电力和照明设施.........................................................38</w:t>
      </w:r>
    </w:p>
    <w:p w14:paraId="7020136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（十）补给点设置.............................................................39</w:t>
      </w:r>
    </w:p>
    <w:p w14:paraId="1BFA6DF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七、体育展示.................................................................39</w:t>
      </w:r>
    </w:p>
    <w:p w14:paraId="5931E79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（一）现场播报...............................................................39</w:t>
      </w:r>
    </w:p>
    <w:p w14:paraId="7ABE975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（二）现场表演...............................................................39</w:t>
      </w:r>
    </w:p>
    <w:p w14:paraId="3A72052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4"/>
          <w:szCs w:val="24"/>
          <w:lang w:val="en-US" w:eastAsia="zh-CN"/>
        </w:rPr>
      </w:pPr>
      <w:r>
        <w:rPr>
          <w:rFonts w:hint="eastAsia" w:ascii="仿宋" w:hAnsi="仿宋" w:eastAsia="仿宋" w:cs="仿宋"/>
          <w:b w:val="0"/>
          <w:bCs w:val="0"/>
          <w:color w:val="auto"/>
          <w:sz w:val="21"/>
          <w:szCs w:val="21"/>
          <w:lang w:val="en-US" w:eastAsia="zh-CN"/>
        </w:rPr>
        <w:t>（三）视频放映要求...........................................................40</w:t>
      </w:r>
    </w:p>
    <w:p w14:paraId="5776AD9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default" w:ascii="仿宋" w:hAnsi="仿宋" w:eastAsia="仿宋" w:cs="仿宋"/>
          <w:b w:val="0"/>
          <w:bCs w:val="0"/>
          <w:color w:val="auto"/>
          <w:sz w:val="21"/>
          <w:szCs w:val="21"/>
          <w:lang w:val="en-US" w:eastAsia="zh-CN"/>
        </w:rPr>
        <w:t>八、启动仪式和颁奖仪式</w:t>
      </w:r>
      <w:r>
        <w:rPr>
          <w:rFonts w:hint="eastAsia" w:ascii="仿宋" w:hAnsi="仿宋" w:eastAsia="仿宋" w:cs="仿宋"/>
          <w:b w:val="0"/>
          <w:bCs w:val="0"/>
          <w:color w:val="auto"/>
          <w:sz w:val="21"/>
          <w:szCs w:val="21"/>
          <w:lang w:val="en-US" w:eastAsia="zh-CN"/>
        </w:rPr>
        <w:t>.......................................................40</w:t>
      </w:r>
    </w:p>
    <w:p w14:paraId="5C88842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w:t>
      </w:r>
      <w:r>
        <w:rPr>
          <w:rFonts w:hint="default" w:ascii="仿宋" w:hAnsi="仿宋" w:eastAsia="仿宋" w:cs="仿宋"/>
          <w:b w:val="0"/>
          <w:bCs w:val="0"/>
          <w:color w:val="auto"/>
          <w:sz w:val="21"/>
          <w:szCs w:val="21"/>
          <w:lang w:val="en-US" w:eastAsia="zh-CN"/>
        </w:rPr>
        <w:t>各类仪式的人员要求</w:t>
      </w:r>
      <w:r>
        <w:rPr>
          <w:rFonts w:hint="eastAsia" w:ascii="仿宋" w:hAnsi="仿宋" w:eastAsia="仿宋" w:cs="仿宋"/>
          <w:b w:val="0"/>
          <w:bCs w:val="0"/>
          <w:color w:val="auto"/>
          <w:sz w:val="21"/>
          <w:szCs w:val="21"/>
          <w:lang w:val="en-US" w:eastAsia="zh-CN"/>
        </w:rPr>
        <w:t>.....................................................40</w:t>
      </w:r>
    </w:p>
    <w:p w14:paraId="06FAFB1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w:t>
      </w:r>
      <w:r>
        <w:rPr>
          <w:rFonts w:hint="default" w:ascii="仿宋" w:hAnsi="仿宋" w:eastAsia="仿宋" w:cs="仿宋"/>
          <w:b w:val="0"/>
          <w:bCs w:val="0"/>
          <w:color w:val="auto"/>
          <w:sz w:val="21"/>
          <w:szCs w:val="21"/>
          <w:lang w:val="en-US" w:eastAsia="zh-CN"/>
        </w:rPr>
        <w:t>设施要求</w:t>
      </w:r>
      <w:r>
        <w:rPr>
          <w:rFonts w:hint="eastAsia" w:ascii="仿宋" w:hAnsi="仿宋" w:eastAsia="仿宋" w:cs="仿宋"/>
          <w:b w:val="0"/>
          <w:bCs w:val="0"/>
          <w:color w:val="auto"/>
          <w:sz w:val="21"/>
          <w:szCs w:val="21"/>
          <w:lang w:val="en-US" w:eastAsia="zh-CN"/>
        </w:rPr>
        <w:t>...............................................................41</w:t>
      </w:r>
    </w:p>
    <w:p w14:paraId="356C647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w:t>
      </w:r>
      <w:r>
        <w:rPr>
          <w:rFonts w:hint="default" w:ascii="仿宋" w:hAnsi="仿宋" w:eastAsia="仿宋" w:cs="仿宋"/>
          <w:b w:val="0"/>
          <w:bCs w:val="0"/>
          <w:color w:val="auto"/>
          <w:sz w:val="21"/>
          <w:szCs w:val="21"/>
          <w:lang w:val="en-US" w:eastAsia="zh-CN"/>
        </w:rPr>
        <w:t>组织要求</w:t>
      </w:r>
      <w:r>
        <w:rPr>
          <w:rFonts w:hint="eastAsia" w:ascii="仿宋" w:hAnsi="仿宋" w:eastAsia="仿宋" w:cs="仿宋"/>
          <w:b w:val="0"/>
          <w:bCs w:val="0"/>
          <w:color w:val="auto"/>
          <w:sz w:val="21"/>
          <w:szCs w:val="21"/>
          <w:lang w:val="en-US" w:eastAsia="zh-CN"/>
        </w:rPr>
        <w:t>...............................................................41</w:t>
      </w:r>
    </w:p>
    <w:p w14:paraId="7D61BAA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九、参与者服务...............................................................41</w:t>
      </w:r>
    </w:p>
    <w:p w14:paraId="42EFFE4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（一）观众交通引导...........................................................41</w:t>
      </w:r>
    </w:p>
    <w:p w14:paraId="3C9B67F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（二）观众固定或临时看台服务.................................................41</w:t>
      </w:r>
    </w:p>
    <w:p w14:paraId="369C249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（三）安检口的安检协查.......................................................42</w:t>
      </w:r>
    </w:p>
    <w:p w14:paraId="2D79E9E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（四）观众信息咨询...........................................................42</w:t>
      </w:r>
    </w:p>
    <w:p w14:paraId="0E9683D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（五）检票管理...............................................................42</w:t>
      </w:r>
    </w:p>
    <w:p w14:paraId="073E5DC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（六）无障碍服务.............................................................42</w:t>
      </w:r>
    </w:p>
    <w:p w14:paraId="4FA7A29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十、礼宾服务.................................................................42</w:t>
      </w:r>
    </w:p>
    <w:p w14:paraId="58E496F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（一）嘉宾范围...............................................................42</w:t>
      </w:r>
    </w:p>
    <w:p w14:paraId="00330D9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（二）提供嘉宾范围内的礼宾、交通、餐饮、环境清洁、安保措施、技术信息、医疗等具体服务要求.....................................................................42</w:t>
      </w:r>
    </w:p>
    <w:p w14:paraId="1629F9D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十一、证件管理...............................................................42</w:t>
      </w:r>
    </w:p>
    <w:p w14:paraId="594F519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（一）证件管理的服务对象与证件分类...........................................43</w:t>
      </w:r>
    </w:p>
    <w:p w14:paraId="50090E2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（二）证件注册管理程序.......................................................43</w:t>
      </w:r>
    </w:p>
    <w:p w14:paraId="404AC03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（三）证件区域划分原则.......................................................43</w:t>
      </w:r>
    </w:p>
    <w:p w14:paraId="1811AB3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（四）证件挂失补办...........................................................43</w:t>
      </w:r>
    </w:p>
    <w:p w14:paraId="7650742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十二、餐饮服务...............................................................43</w:t>
      </w:r>
    </w:p>
    <w:p w14:paraId="12B0E49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（一）餐饮服务对象...........................................................43</w:t>
      </w:r>
    </w:p>
    <w:p w14:paraId="25F22CE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（二）餐饮卫生标准...........................................................45</w:t>
      </w:r>
    </w:p>
    <w:p w14:paraId="7E2FC5E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（三）供餐时间地点方式.......................................................45</w:t>
      </w:r>
    </w:p>
    <w:p w14:paraId="26F9C9C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（四）供餐禁忌标准...........................................................45</w:t>
      </w:r>
    </w:p>
    <w:p w14:paraId="24A866C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十三、住宿服务...............................................................45</w:t>
      </w:r>
    </w:p>
    <w:p w14:paraId="705BB5F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（一）住宿安排的原则.........................................................45</w:t>
      </w:r>
    </w:p>
    <w:p w14:paraId="3507CED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（二）安全要求...............................................................45</w:t>
      </w:r>
    </w:p>
    <w:p w14:paraId="20B779C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（三）卫生条件...............................................................46</w:t>
      </w:r>
    </w:p>
    <w:p w14:paraId="3E94915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（四）基础设施...............................................................46</w:t>
      </w:r>
    </w:p>
    <w:p w14:paraId="2106BD8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（五）交通便利条件...........................................................46</w:t>
      </w:r>
    </w:p>
    <w:p w14:paraId="084EA35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十四、交通服务...............................................................47</w:t>
      </w:r>
    </w:p>
    <w:p w14:paraId="34B764A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（一）车辆需求管理...........................................................47</w:t>
      </w:r>
    </w:p>
    <w:p w14:paraId="4C9970E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（二）车辆通行区域...........................................................47</w:t>
      </w:r>
    </w:p>
    <w:p w14:paraId="2BA40A2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（三）车辆注册管理...........................................................47</w:t>
      </w:r>
    </w:p>
    <w:p w14:paraId="265E585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（四）车辆停放管理...........................................................48</w:t>
      </w:r>
    </w:p>
    <w:p w14:paraId="64D75BC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（五）交通运行区域划分.......................................................48</w:t>
      </w:r>
    </w:p>
    <w:p w14:paraId="0BCC7D0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（六）场馆车辆通行...........................................................48</w:t>
      </w:r>
    </w:p>
    <w:p w14:paraId="099FEDC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（七）上落客政策.............................................................48</w:t>
      </w:r>
    </w:p>
    <w:p w14:paraId="20770E8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十五、医疗卫生服务...........................................................48</w:t>
      </w:r>
    </w:p>
    <w:p w14:paraId="206E7E3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（一）运动员医疗站、观众医疗站、临时医疗点标准...............................48</w:t>
      </w:r>
    </w:p>
    <w:p w14:paraId="7855A18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（二）现场医疗和急救转运服务.................................................49</w:t>
      </w:r>
    </w:p>
    <w:p w14:paraId="57A6374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（三）食品卫生监督监测.......................................................50</w:t>
      </w:r>
    </w:p>
    <w:p w14:paraId="64DB431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（四）公共场所卫生监督监测...................................................51</w:t>
      </w:r>
    </w:p>
    <w:p w14:paraId="70CE58F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（五）饮用水卫生监督监测.....................................................51</w:t>
      </w:r>
    </w:p>
    <w:p w14:paraId="21ED48F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（六）传染病防控.............................................................51</w:t>
      </w:r>
    </w:p>
    <w:p w14:paraId="1472333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（七）紧急用药政策...........................................................51</w:t>
      </w:r>
    </w:p>
    <w:p w14:paraId="2D5A69F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（八）公共卫生事件防控政策...................................................52</w:t>
      </w:r>
    </w:p>
    <w:p w14:paraId="70E49DA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（九）临时隔离点配置.........................................................52</w:t>
      </w:r>
    </w:p>
    <w:p w14:paraId="0B44E42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（十）临时隔离管理措施.......................................................52</w:t>
      </w:r>
    </w:p>
    <w:p w14:paraId="7D4874C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（十一）涉疫信息上报制度.....................................................52</w:t>
      </w:r>
    </w:p>
    <w:p w14:paraId="0F59434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（十二）公共卫生事件管理指挥体系..............................................52</w:t>
      </w:r>
    </w:p>
    <w:p w14:paraId="7103FB7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（十三）防疫物资准备.........................................................53</w:t>
      </w:r>
    </w:p>
    <w:p w14:paraId="38450CE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十六、安保服务...............................................................53</w:t>
      </w:r>
    </w:p>
    <w:p w14:paraId="28D37A4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（一）安保运行（安保区域划分）政策...........................................53</w:t>
      </w:r>
    </w:p>
    <w:p w14:paraId="136752B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（二）巡逻防控、秩序维护.....................................................53</w:t>
      </w:r>
    </w:p>
    <w:p w14:paraId="0C2EA06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（三）消防、水、电、气等设施设备运行督查......................................54</w:t>
      </w:r>
    </w:p>
    <w:p w14:paraId="17CE5DF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（四）特别区域安保...........................................................54</w:t>
      </w:r>
    </w:p>
    <w:p w14:paraId="49959FF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（五）突发事件先期处置.......................................................54</w:t>
      </w:r>
    </w:p>
    <w:p w14:paraId="12B1FC6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（六）人检与车检政策.........................................................55</w:t>
      </w:r>
    </w:p>
    <w:p w14:paraId="2FB64F4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（七）禁/限带物品管理........................................................55</w:t>
      </w:r>
    </w:p>
    <w:p w14:paraId="392C811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（八）可疑物处置.............................................................55</w:t>
      </w:r>
    </w:p>
    <w:p w14:paraId="79054BE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（九）群众治安事件的控制措施.................................................56</w:t>
      </w:r>
    </w:p>
    <w:p w14:paraId="7BBFD5B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（十）突发恐怖暴力案件处理措施...............................................56</w:t>
      </w:r>
    </w:p>
    <w:p w14:paraId="56D1927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十七、人力资源和志愿者服务...................................................56</w:t>
      </w:r>
    </w:p>
    <w:p w14:paraId="4932A7C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（一）人力资源需求...........................................................56</w:t>
      </w:r>
    </w:p>
    <w:p w14:paraId="0825F61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（二）志愿者和辅助人员需求...................................................57</w:t>
      </w:r>
    </w:p>
    <w:p w14:paraId="7D03C76D">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（三）招募、培训、考核、宣传、注册等人员管理政策.............................57</w:t>
      </w:r>
    </w:p>
    <w:p w14:paraId="216503C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十八、赞助商服务.............................................................58</w:t>
      </w:r>
    </w:p>
    <w:p w14:paraId="3FD6B80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（一）赞助商现场展示..........................................................58</w:t>
      </w:r>
    </w:p>
    <w:p w14:paraId="6E7F041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（二）场馆广告...............................................................58</w:t>
      </w:r>
    </w:p>
    <w:p w14:paraId="5C6A9DB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（三）赞助商识别.............................................................58</w:t>
      </w:r>
    </w:p>
    <w:p w14:paraId="1F97C21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default" w:ascii="仿宋" w:hAnsi="仿宋" w:eastAsia="仿宋" w:cs="仿宋"/>
          <w:b w:val="0"/>
          <w:bCs w:val="0"/>
          <w:color w:val="auto"/>
          <w:sz w:val="21"/>
          <w:szCs w:val="21"/>
          <w:lang w:val="en-US" w:eastAsia="zh-CN"/>
        </w:rPr>
      </w:pPr>
      <w:r>
        <w:rPr>
          <w:rFonts w:hint="eastAsia" w:ascii="仿宋" w:hAnsi="仿宋" w:eastAsia="仿宋" w:cs="仿宋"/>
          <w:b w:val="0"/>
          <w:bCs w:val="0"/>
          <w:color w:val="auto"/>
          <w:sz w:val="21"/>
          <w:szCs w:val="21"/>
          <w:lang w:val="en-US" w:eastAsia="zh-CN"/>
        </w:rPr>
        <w:t>十九、最终解释权.............................................................59</w:t>
      </w:r>
    </w:p>
    <w:p w14:paraId="757C20F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3769C5E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740B26F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17CC9D3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67C1F51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4C82B38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625950A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042BA5C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20F8C34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14BCDC5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599EB46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2B91ED5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3CCE5C0E">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24FDABA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6A99AFB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3588D6C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773B05A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0E6A8CE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40AF363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5231B42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719DB94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6C67B7E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741895D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2B146CD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1A719A77">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1E6A90B5">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1FA245E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333F7EC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5B4759C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14EB69D2">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4CDA50B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2DFA301F">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4893EAE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5673A5EB">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158D523C">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6A3D1041">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51BE8D60">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36589FF8">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lang w:val="en-US" w:eastAsia="zh-CN"/>
        </w:rPr>
      </w:pPr>
    </w:p>
    <w:p w14:paraId="627444EA">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黑体" w:hAnsi="黑体" w:eastAsia="黑体" w:cs="黑体"/>
          <w:b w:val="0"/>
          <w:bCs w:val="0"/>
          <w:color w:val="auto"/>
          <w:sz w:val="32"/>
          <w:szCs w:val="32"/>
          <w:lang w:val="en-US" w:eastAsia="zh-CN"/>
        </w:rPr>
        <w:t>一、前言和指导思想</w:t>
      </w:r>
    </w:p>
    <w:p w14:paraId="14754581">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为深入贯彻落实党的二十大精神和《“健康中国2030”规划纲要》《体育强国建设纲要》等文件精神，积极响应全民健身国家战略，推动全民健身与全民健康深度融合，广泛开展全民健身活动，创新赛事组织形式，提升赛事服务水平。</w:t>
      </w:r>
    </w:p>
    <w:p w14:paraId="7D6D44EB">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根据《中华人民共和国体育法》《全民健身条例》和国家体育总局的有关规定，特制订《中国全民健身走（跑）大赛办赛指南》（以下简称“指南”）。</w:t>
      </w:r>
    </w:p>
    <w:p w14:paraId="3A91D36C">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本指南适用于中国全民健身走（跑）大赛及其子赛事，旨在规范赛事组织管理，提升赛事品质，保障参与者安全，促进赛事健康、可持续、高质量发展。</w:t>
      </w:r>
    </w:p>
    <w:p w14:paraId="28800BB1">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楷体" w:hAnsi="楷体" w:eastAsia="楷体" w:cs="楷体"/>
          <w:b w:val="0"/>
          <w:bCs w:val="0"/>
          <w:i w:val="0"/>
          <w:caps w:val="0"/>
          <w:color w:val="auto"/>
          <w:spacing w:val="0"/>
          <w:sz w:val="32"/>
          <w:szCs w:val="32"/>
          <w:shd w:val="clear" w:color="auto" w:fill="FFFFFF"/>
          <w:lang w:val="en-US" w:eastAsia="zh-CN"/>
        </w:rPr>
        <w:t>（一）赛事类别</w:t>
      </w:r>
    </w:p>
    <w:p w14:paraId="44B71810">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1.中国全民健身走（跑）大赛（5km—10km，含健身走与健身跑）；</w:t>
      </w:r>
    </w:p>
    <w:p w14:paraId="3674FAA3">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2.中国全民健身走（跑）大赛火炬传递健康跑（5km—10km，含火炬传递接力赛，接力点间距不超过500m）；</w:t>
      </w:r>
    </w:p>
    <w:p w14:paraId="41F54451">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3.中国全民健身走（跑）大赛建议积分挑战赛（10km，团队赛）；</w:t>
      </w:r>
    </w:p>
    <w:p w14:paraId="1F97BCC0">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4.其他经组委会认定的相关子赛事。</w:t>
      </w:r>
    </w:p>
    <w:p w14:paraId="1ECA2E62">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楷体" w:hAnsi="楷体" w:eastAsia="楷体" w:cs="楷体"/>
          <w:b w:val="0"/>
          <w:bCs w:val="0"/>
          <w:i w:val="0"/>
          <w:caps w:val="0"/>
          <w:color w:val="auto"/>
          <w:spacing w:val="0"/>
          <w:sz w:val="32"/>
          <w:szCs w:val="32"/>
          <w:shd w:val="clear" w:color="auto" w:fill="FFFFFF"/>
          <w:lang w:val="en-US" w:eastAsia="zh-CN"/>
        </w:rPr>
        <w:t>（二）适用范围</w:t>
      </w:r>
    </w:p>
    <w:p w14:paraId="6BCC13F5">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caps w:val="0"/>
          <w:color w:val="auto"/>
          <w:spacing w:val="0"/>
          <w:sz w:val="32"/>
          <w:szCs w:val="32"/>
          <w:shd w:val="clear" w:color="auto" w:fill="FFFFFF"/>
          <w:lang w:val="en-US" w:eastAsia="zh-CN"/>
        </w:rPr>
      </w:pPr>
      <w:r>
        <w:rPr>
          <w:rFonts w:hint="eastAsia" w:ascii="仿宋" w:hAnsi="仿宋" w:eastAsia="仿宋" w:cs="仿宋"/>
          <w:b w:val="0"/>
          <w:bCs w:val="0"/>
          <w:i w:val="0"/>
          <w:caps w:val="0"/>
          <w:color w:val="auto"/>
          <w:spacing w:val="0"/>
          <w:sz w:val="32"/>
          <w:szCs w:val="32"/>
          <w:shd w:val="clear" w:color="auto" w:fill="FFFFFF"/>
          <w:lang w:val="en-US" w:eastAsia="zh-CN"/>
        </w:rPr>
        <w:t>本指南适用于在中国境内（含香港、澳门、中国台湾地区）面向社会公开报名的全民健身走（跑）赛事。香港、澳门、中国台湾地区参赛者需持有效通行证件。</w:t>
      </w:r>
    </w:p>
    <w:p w14:paraId="2C716619">
      <w:pPr>
        <w:pStyle w:val="6"/>
        <w:keepNext w:val="0"/>
        <w:keepLines w:val="0"/>
        <w:pageBreakBefore w:val="0"/>
        <w:widowControl/>
        <w:suppressLineNumbers w:val="0"/>
        <w:kinsoku/>
        <w:wordWrap/>
        <w:overflowPunct/>
        <w:topLinePunct w:val="0"/>
        <w:autoSpaceDE w:val="0"/>
        <w:autoSpaceDN w:val="0"/>
        <w:bidi w:val="0"/>
        <w:adjustRightInd/>
        <w:snapToGrid/>
        <w:spacing w:before="0" w:beforeAutospacing="0" w:after="0" w:afterAutospacing="0" w:line="560" w:lineRule="exact"/>
        <w:ind w:left="0" w:right="0" w:firstLine="640" w:firstLineChars="200"/>
        <w:jc w:val="both"/>
        <w:textAlignment w:val="auto"/>
        <w:rPr>
          <w:rFonts w:hint="eastAsia" w:ascii="仿宋" w:hAnsi="仿宋" w:eastAsia="仿宋" w:cs="仿宋"/>
          <w:b w:val="0"/>
          <w:bCs w:val="0"/>
          <w:i w:val="0"/>
          <w:caps w:val="0"/>
          <w:color w:val="auto"/>
          <w:spacing w:val="0"/>
          <w:sz w:val="32"/>
          <w:szCs w:val="32"/>
          <w:shd w:val="clear" w:color="auto" w:fill="FFFFFF"/>
          <w:lang w:val="en-US" w:eastAsia="zh-CN"/>
        </w:rPr>
      </w:pPr>
    </w:p>
    <w:p w14:paraId="2C5DC885">
      <w:pPr>
        <w:ind w:firstLine="640" w:firstLineChars="200"/>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二、赛事组织</w:t>
      </w:r>
    </w:p>
    <w:p w14:paraId="790301CC">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一</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赛事</w:t>
      </w:r>
      <w:r>
        <w:rPr>
          <w:rFonts w:hint="eastAsia" w:ascii="楷体" w:hAnsi="楷体" w:eastAsia="楷体" w:cs="楷体"/>
          <w:color w:val="auto"/>
          <w:sz w:val="32"/>
          <w:szCs w:val="32"/>
        </w:rPr>
        <w:t>申办</w:t>
      </w:r>
      <w:r>
        <w:rPr>
          <w:rFonts w:hint="eastAsia" w:ascii="楷体" w:hAnsi="楷体" w:eastAsia="楷体" w:cs="楷体"/>
          <w:color w:val="auto"/>
          <w:sz w:val="32"/>
          <w:szCs w:val="32"/>
          <w:lang w:val="en-US" w:eastAsia="zh-CN"/>
        </w:rPr>
        <w:t>与立项</w:t>
      </w:r>
    </w:p>
    <w:p w14:paraId="3024A352">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lang w:val="en-US" w:eastAsia="zh-CN"/>
        </w:rPr>
      </w:pPr>
      <w:r>
        <w:rPr>
          <w:rFonts w:hint="eastAsia" w:ascii="仿宋" w:hAnsi="仿宋" w:eastAsia="仿宋"/>
          <w:color w:val="auto"/>
          <w:sz w:val="32"/>
          <w:szCs w:val="32"/>
          <w:lang w:val="en-US" w:eastAsia="zh-CN"/>
        </w:rPr>
        <w:t>1.每年度由国家体育总局社会体育指导中心官网发布赛事招标书，全国各地区政府机关可依照招标书要求向国家体育总局社会体育指导中心递送请示报告。推介招标公告的内容包括赛事时间、地点、注意事项，参照赛事招标书模板（见表1-1-1）。</w:t>
      </w:r>
    </w:p>
    <w:p w14:paraId="50AF667F">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jc w:val="center"/>
        <w:textAlignment w:val="auto"/>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示例：表1-1-1赛事推介招标书</w:t>
      </w:r>
    </w:p>
    <w:tbl>
      <w:tblPr>
        <w:tblStyle w:val="8"/>
        <w:tblW w:w="85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8"/>
        <w:gridCol w:w="1373"/>
        <w:gridCol w:w="5711"/>
        <w:gridCol w:w="25"/>
      </w:tblGrid>
      <w:tr w14:paraId="082A6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97" w:hRule="atLeas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14:paraId="62E6F25C">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b/>
                <w:bCs/>
                <w:color w:val="auto"/>
              </w:rPr>
            </w:pPr>
            <w:r>
              <w:rPr>
                <w:rFonts w:ascii="Times New Roman" w:hAnsi="Times New Roman"/>
                <w:b/>
                <w:bCs/>
                <w:color w:val="auto"/>
              </w:rPr>
              <w:t>赛事名称</w:t>
            </w:r>
          </w:p>
        </w:tc>
        <w:tc>
          <w:tcPr>
            <w:tcW w:w="7084" w:type="dxa"/>
            <w:gridSpan w:val="2"/>
            <w:tcBorders>
              <w:top w:val="single" w:color="auto" w:sz="4" w:space="0"/>
              <w:left w:val="single" w:color="auto" w:sz="4" w:space="0"/>
              <w:bottom w:val="single" w:color="auto" w:sz="4" w:space="0"/>
              <w:right w:val="single" w:color="auto" w:sz="4" w:space="0"/>
            </w:tcBorders>
            <w:noWrap w:val="0"/>
            <w:vAlign w:val="center"/>
          </w:tcPr>
          <w:p w14:paraId="3847EA90">
            <w:pPr>
              <w:keepNext w:val="0"/>
              <w:keepLines w:val="0"/>
              <w:pageBreakBefore w:val="0"/>
              <w:kinsoku/>
              <w:wordWrap/>
              <w:overflowPunct/>
              <w:topLinePunct w:val="0"/>
              <w:autoSpaceDE/>
              <w:autoSpaceDN/>
              <w:bidi w:val="0"/>
              <w:adjustRightInd/>
              <w:spacing w:line="240" w:lineRule="auto"/>
              <w:ind w:right="0"/>
              <w:jc w:val="center"/>
              <w:textAlignment w:val="auto"/>
              <w:rPr>
                <w:rFonts w:hint="eastAsia" w:ascii="Times New Roman" w:hAnsi="Times New Roman"/>
                <w:color w:val="auto"/>
                <w:szCs w:val="21"/>
              </w:rPr>
            </w:pPr>
            <w:r>
              <w:rPr>
                <w:rFonts w:hint="eastAsia" w:ascii="Times New Roman" w:hAnsi="Times New Roman"/>
                <w:b/>
                <w:bCs/>
                <w:color w:val="auto"/>
                <w:lang w:val="en-US" w:eastAsia="zh-CN"/>
              </w:rPr>
              <w:t>XXXX</w:t>
            </w:r>
            <w:r>
              <w:rPr>
                <w:rFonts w:hint="eastAsia" w:ascii="Times New Roman" w:hAnsi="Times New Roman"/>
                <w:b/>
                <w:bCs/>
                <w:color w:val="auto"/>
              </w:rPr>
              <w:t>年</w:t>
            </w:r>
            <w:r>
              <w:rPr>
                <w:rFonts w:ascii="Times New Roman" w:hAnsi="Times New Roman"/>
                <w:b/>
                <w:bCs/>
                <w:color w:val="auto"/>
                <w:szCs w:val="21"/>
              </w:rPr>
              <w:t>中国全民健身走（跑）大赛</w:t>
            </w:r>
          </w:p>
        </w:tc>
      </w:tr>
      <w:tr w14:paraId="71B90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97" w:hRule="atLeas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14:paraId="7BB8C4F1">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b/>
                <w:bCs/>
                <w:color w:val="auto"/>
              </w:rPr>
            </w:pPr>
            <w:r>
              <w:rPr>
                <w:rFonts w:ascii="Times New Roman" w:hAnsi="Times New Roman"/>
                <w:b/>
                <w:bCs/>
                <w:color w:val="auto"/>
              </w:rPr>
              <w:t>赛事类别</w:t>
            </w:r>
          </w:p>
        </w:tc>
        <w:tc>
          <w:tcPr>
            <w:tcW w:w="7084" w:type="dxa"/>
            <w:gridSpan w:val="2"/>
            <w:tcBorders>
              <w:top w:val="single" w:color="auto" w:sz="4" w:space="0"/>
              <w:left w:val="single" w:color="auto" w:sz="4" w:space="0"/>
              <w:bottom w:val="single" w:color="auto" w:sz="4" w:space="0"/>
              <w:right w:val="single" w:color="auto" w:sz="4" w:space="0"/>
            </w:tcBorders>
            <w:noWrap w:val="0"/>
            <w:vAlign w:val="center"/>
          </w:tcPr>
          <w:p w14:paraId="36AE08A9">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hint="eastAsia" w:ascii="Times New Roman" w:hAnsi="Times New Roman"/>
                <w:b/>
                <w:bCs/>
                <w:color w:val="auto"/>
                <w:szCs w:val="21"/>
              </w:rPr>
              <w:t>系列赛</w:t>
            </w:r>
          </w:p>
        </w:tc>
      </w:tr>
      <w:tr w14:paraId="26C64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97" w:hRule="atLeas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14:paraId="4569072A">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b/>
                <w:bCs/>
                <w:color w:val="auto"/>
              </w:rPr>
            </w:pPr>
            <w:r>
              <w:rPr>
                <w:rFonts w:ascii="Times New Roman" w:hAnsi="Times New Roman"/>
                <w:b/>
                <w:bCs/>
                <w:color w:val="auto"/>
              </w:rPr>
              <w:t>赛事介绍</w:t>
            </w:r>
          </w:p>
        </w:tc>
        <w:tc>
          <w:tcPr>
            <w:tcW w:w="7084" w:type="dxa"/>
            <w:gridSpan w:val="2"/>
            <w:tcBorders>
              <w:top w:val="single" w:color="auto" w:sz="4" w:space="0"/>
              <w:left w:val="single" w:color="auto" w:sz="4" w:space="0"/>
              <w:bottom w:val="single" w:color="auto" w:sz="4" w:space="0"/>
              <w:right w:val="single" w:color="auto" w:sz="4" w:space="0"/>
            </w:tcBorders>
            <w:noWrap w:val="0"/>
            <w:vAlign w:val="center"/>
          </w:tcPr>
          <w:p w14:paraId="4F373114">
            <w:pPr>
              <w:keepNext w:val="0"/>
              <w:keepLines w:val="0"/>
              <w:pageBreakBefore w:val="0"/>
              <w:kinsoku/>
              <w:wordWrap/>
              <w:overflowPunct/>
              <w:topLinePunct w:val="0"/>
              <w:autoSpaceDE/>
              <w:autoSpaceDN/>
              <w:bidi w:val="0"/>
              <w:adjustRightInd/>
              <w:spacing w:line="240" w:lineRule="auto"/>
              <w:ind w:right="0"/>
              <w:jc w:val="left"/>
              <w:textAlignment w:val="auto"/>
              <w:rPr>
                <w:rFonts w:hint="eastAsia" w:ascii="Times New Roman" w:hAnsi="Times New Roman"/>
                <w:color w:val="auto"/>
                <w:szCs w:val="21"/>
              </w:rPr>
            </w:pPr>
            <w:r>
              <w:rPr>
                <w:rFonts w:ascii="Times New Roman" w:hAnsi="Times New Roman"/>
                <w:color w:val="auto"/>
                <w:szCs w:val="21"/>
              </w:rPr>
              <w:t>中国全民健身走（跑）大赛是全国受众</w:t>
            </w:r>
            <w:r>
              <w:rPr>
                <w:rFonts w:hint="eastAsia" w:ascii="Times New Roman" w:hAnsi="Times New Roman"/>
                <w:color w:val="auto"/>
                <w:szCs w:val="21"/>
              </w:rPr>
              <w:t>面</w:t>
            </w:r>
            <w:r>
              <w:rPr>
                <w:rFonts w:ascii="Times New Roman" w:hAnsi="Times New Roman"/>
                <w:color w:val="auto"/>
                <w:szCs w:val="21"/>
              </w:rPr>
              <w:t>最广、参与率最高、影响力最大的</w:t>
            </w:r>
            <w:r>
              <w:rPr>
                <w:rFonts w:hint="eastAsia" w:ascii="Times New Roman" w:hAnsi="Times New Roman"/>
                <w:color w:val="auto"/>
                <w:szCs w:val="21"/>
              </w:rPr>
              <w:t>国家级</w:t>
            </w:r>
            <w:r>
              <w:rPr>
                <w:rFonts w:ascii="Times New Roman" w:hAnsi="Times New Roman"/>
                <w:color w:val="auto"/>
                <w:szCs w:val="21"/>
              </w:rPr>
              <w:t>全民健身赛事之一</w:t>
            </w:r>
            <w:r>
              <w:rPr>
                <w:rFonts w:hint="eastAsia" w:ascii="Times New Roman" w:hAnsi="Times New Roman"/>
                <w:color w:val="auto"/>
                <w:szCs w:val="21"/>
              </w:rPr>
              <w:t>。赛事积极响应体育强国、健康中国、全民健身以及体育赛事进景区、进街区、进商圈国家政策，以赛为媒</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以文旅的思维办赛，</w:t>
            </w:r>
            <w:r>
              <w:rPr>
                <w:rFonts w:ascii="Times New Roman" w:hAnsi="Times New Roman"/>
                <w:color w:val="auto"/>
                <w:szCs w:val="21"/>
              </w:rPr>
              <w:t>为赛事举办地打造</w:t>
            </w:r>
            <w:r>
              <w:rPr>
                <w:rFonts w:hint="eastAsia" w:ascii="Times New Roman" w:hAnsi="Times New Roman"/>
                <w:color w:val="auto"/>
                <w:szCs w:val="21"/>
              </w:rPr>
              <w:t>国家级全民健身</w:t>
            </w:r>
            <w:r>
              <w:rPr>
                <w:rFonts w:ascii="Times New Roman" w:hAnsi="Times New Roman"/>
                <w:color w:val="auto"/>
                <w:szCs w:val="21"/>
              </w:rPr>
              <w:t>品牌赛事</w:t>
            </w:r>
            <w:r>
              <w:rPr>
                <w:rFonts w:hint="eastAsia" w:ascii="Times New Roman" w:hAnsi="Times New Roman"/>
                <w:color w:val="auto"/>
                <w:szCs w:val="21"/>
                <w:lang w:val="en-US" w:eastAsia="zh-CN"/>
              </w:rPr>
              <w:t>和</w:t>
            </w:r>
            <w:r>
              <w:rPr>
                <w:rFonts w:ascii="Times New Roman" w:hAnsi="Times New Roman"/>
                <w:color w:val="auto"/>
                <w:szCs w:val="21"/>
              </w:rPr>
              <w:t>全民健身城市名片，推动“体育+文化+旅游</w:t>
            </w:r>
            <w:r>
              <w:rPr>
                <w:rFonts w:hint="eastAsia" w:ascii="Times New Roman" w:hAnsi="Times New Roman"/>
                <w:color w:val="auto"/>
                <w:szCs w:val="21"/>
              </w:rPr>
              <w:t>+经济</w:t>
            </w:r>
            <w:r>
              <w:rPr>
                <w:rFonts w:ascii="Times New Roman" w:hAnsi="Times New Roman"/>
                <w:color w:val="auto"/>
                <w:szCs w:val="21"/>
              </w:rPr>
              <w:t>”融合发展</w:t>
            </w:r>
            <w:r>
              <w:rPr>
                <w:rFonts w:hint="eastAsia" w:ascii="Times New Roman" w:hAnsi="Times New Roman"/>
                <w:color w:val="auto"/>
                <w:szCs w:val="21"/>
              </w:rPr>
              <w:t>。</w:t>
            </w:r>
          </w:p>
          <w:p w14:paraId="4CF9372F">
            <w:pPr>
              <w:pStyle w:val="11"/>
              <w:keepNext w:val="0"/>
              <w:keepLines w:val="0"/>
              <w:pageBreakBefore w:val="0"/>
              <w:kinsoku/>
              <w:wordWrap/>
              <w:overflowPunct/>
              <w:topLinePunct w:val="0"/>
              <w:autoSpaceDE/>
              <w:autoSpaceDN/>
              <w:bidi w:val="0"/>
              <w:adjustRightInd/>
              <w:spacing w:line="240" w:lineRule="auto"/>
              <w:ind w:left="0" w:leftChars="0" w:right="0" w:firstLine="0" w:firstLineChars="0"/>
              <w:textAlignment w:val="auto"/>
              <w:rPr>
                <w:rFonts w:ascii="Times New Roman" w:hAnsi="Times New Roman"/>
                <w:color w:val="auto"/>
                <w:szCs w:val="21"/>
              </w:rPr>
            </w:pPr>
            <w:r>
              <w:rPr>
                <w:rFonts w:hint="eastAsia" w:ascii="宋体" w:hAnsi="宋体" w:cs="宋体"/>
                <w:color w:val="auto"/>
                <w:szCs w:val="21"/>
                <w:lang w:val="en-US" w:eastAsia="zh-CN"/>
              </w:rPr>
              <w:t>赛事</w:t>
            </w:r>
            <w:r>
              <w:rPr>
                <w:rFonts w:hint="eastAsia" w:ascii="宋体" w:hAnsi="宋体" w:cs="宋体"/>
                <w:color w:val="auto"/>
                <w:szCs w:val="21"/>
              </w:rPr>
              <w:t>创新办赛模式，全国百城联动接力办赛，一城办赛，百城联动支援，形成 “一城发起、百城响应”</w:t>
            </w:r>
            <w:r>
              <w:rPr>
                <w:rFonts w:hint="eastAsia" w:ascii="宋体" w:hAnsi="宋体" w:cs="宋体"/>
                <w:color w:val="auto"/>
                <w:szCs w:val="21"/>
                <w:lang w:val="en-US" w:eastAsia="zh-CN"/>
              </w:rPr>
              <w:t>生态</w:t>
            </w:r>
            <w:r>
              <w:rPr>
                <w:rFonts w:hint="eastAsia" w:ascii="宋体" w:hAnsi="宋体" w:cs="宋体"/>
                <w:color w:val="auto"/>
                <w:szCs w:val="21"/>
              </w:rPr>
              <w:t>，实现办赛城市与全国百城在赛事资源、宣传渠道、文旅产业的深度联动。借助火炬传递和会旗交接的形式，促进各办赛城市间的文体旅交流、资源共享和优势互补，实现1+1&gt;2的协同效益和办赛价值最大化。</w:t>
            </w:r>
            <w:r>
              <w:rPr>
                <w:rFonts w:hint="eastAsia" w:ascii="Times New Roman" w:hAnsi="Times New Roman"/>
                <w:color w:val="auto"/>
                <w:szCs w:val="21"/>
              </w:rPr>
              <w:t>赛事期间因地制宜融合举办“招商引资推介会、体育旅游嘉年华、乡村振兴消费季、体育旅游美食节</w:t>
            </w:r>
            <w:r>
              <w:rPr>
                <w:rFonts w:hint="eastAsia" w:ascii="Times New Roman" w:hAnsi="Times New Roman"/>
                <w:color w:val="auto"/>
                <w:szCs w:val="21"/>
                <w:lang w:eastAsia="zh-CN"/>
              </w:rPr>
              <w:t>、</w:t>
            </w:r>
            <w:r>
              <w:rPr>
                <w:rFonts w:hint="eastAsia" w:ascii="Times New Roman" w:hAnsi="Times New Roman"/>
                <w:color w:val="auto"/>
                <w:szCs w:val="21"/>
                <w:lang w:val="en-US" w:eastAsia="zh-CN"/>
              </w:rPr>
              <w:t>全民音乐节</w:t>
            </w:r>
            <w:r>
              <w:rPr>
                <w:rFonts w:hint="eastAsia" w:ascii="Times New Roman" w:hAnsi="Times New Roman"/>
                <w:color w:val="auto"/>
                <w:szCs w:val="21"/>
              </w:rPr>
              <w:t>”等活动，切实将赛事流量转化为经济增量；</w:t>
            </w:r>
            <w:r>
              <w:rPr>
                <w:rFonts w:ascii="Times New Roman" w:hAnsi="Times New Roman"/>
                <w:color w:val="auto"/>
                <w:szCs w:val="21"/>
              </w:rPr>
              <w:t>培养全民经常性健身走（跑）锻炼习惯</w:t>
            </w:r>
            <w:r>
              <w:rPr>
                <w:rFonts w:hint="eastAsia" w:ascii="Times New Roman" w:hAnsi="Times New Roman"/>
                <w:color w:val="auto"/>
                <w:szCs w:val="21"/>
              </w:rPr>
              <w:t>，让全民健身、科学运动的生活理念深入人心，并</w:t>
            </w:r>
            <w:r>
              <w:rPr>
                <w:rFonts w:ascii="Times New Roman" w:hAnsi="Times New Roman"/>
                <w:color w:val="auto"/>
                <w:szCs w:val="21"/>
              </w:rPr>
              <w:t>引领</w:t>
            </w:r>
            <w:r>
              <w:rPr>
                <w:rFonts w:hint="eastAsia" w:ascii="Times New Roman" w:hAnsi="Times New Roman"/>
                <w:color w:val="auto"/>
                <w:szCs w:val="21"/>
                <w:lang w:val="en-US" w:eastAsia="zh-CN"/>
              </w:rPr>
              <w:t>健步徒步</w:t>
            </w:r>
            <w:r>
              <w:rPr>
                <w:rFonts w:ascii="Times New Roman" w:hAnsi="Times New Roman"/>
                <w:color w:val="auto"/>
                <w:szCs w:val="21"/>
              </w:rPr>
              <w:t>赛事活动规范、</w:t>
            </w:r>
            <w:r>
              <w:rPr>
                <w:rFonts w:hint="eastAsia" w:ascii="Times New Roman" w:hAnsi="Times New Roman"/>
                <w:color w:val="auto"/>
                <w:szCs w:val="21"/>
              </w:rPr>
              <w:t>有序、</w:t>
            </w:r>
            <w:r>
              <w:rPr>
                <w:rFonts w:ascii="Times New Roman" w:hAnsi="Times New Roman"/>
                <w:color w:val="auto"/>
                <w:szCs w:val="21"/>
              </w:rPr>
              <w:t>健康发展。</w:t>
            </w:r>
            <w:r>
              <w:rPr>
                <w:rFonts w:hint="eastAsia" w:ascii="Times New Roman" w:hAnsi="Times New Roman"/>
                <w:color w:val="auto"/>
                <w:szCs w:val="21"/>
              </w:rPr>
              <w:t>该赛事由社体中心授权的赛事运营单位负责整体运营。</w:t>
            </w:r>
          </w:p>
        </w:tc>
      </w:tr>
      <w:tr w14:paraId="25AEC4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5" w:type="dxa"/>
          <w:trHeight w:val="397" w:hRule="atLeast"/>
          <w:jc w:val="center"/>
        </w:trPr>
        <w:tc>
          <w:tcPr>
            <w:tcW w:w="1408" w:type="dxa"/>
            <w:tcBorders>
              <w:top w:val="single" w:color="auto" w:sz="4" w:space="0"/>
              <w:left w:val="single" w:color="auto" w:sz="4" w:space="0"/>
              <w:bottom w:val="single" w:color="auto" w:sz="4" w:space="0"/>
              <w:right w:val="single" w:color="auto" w:sz="4" w:space="0"/>
            </w:tcBorders>
            <w:noWrap w:val="0"/>
            <w:vAlign w:val="center"/>
          </w:tcPr>
          <w:p w14:paraId="011D4886">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b/>
                <w:bCs/>
                <w:color w:val="auto"/>
              </w:rPr>
            </w:pPr>
            <w:r>
              <w:rPr>
                <w:rFonts w:ascii="Times New Roman" w:hAnsi="Times New Roman"/>
                <w:b/>
                <w:bCs/>
                <w:color w:val="auto"/>
              </w:rPr>
              <w:t>时间安排</w:t>
            </w:r>
          </w:p>
        </w:tc>
        <w:tc>
          <w:tcPr>
            <w:tcW w:w="7084" w:type="dxa"/>
            <w:gridSpan w:val="2"/>
            <w:tcBorders>
              <w:top w:val="single" w:color="auto" w:sz="4" w:space="0"/>
              <w:left w:val="single" w:color="auto" w:sz="4" w:space="0"/>
              <w:bottom w:val="single" w:color="auto" w:sz="4" w:space="0"/>
              <w:right w:val="single" w:color="auto" w:sz="4" w:space="0"/>
            </w:tcBorders>
            <w:noWrap w:val="0"/>
            <w:vAlign w:val="center"/>
          </w:tcPr>
          <w:p w14:paraId="4CFD2C0E">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hint="eastAsia" w:ascii="宋体" w:hAnsi="宋体"/>
                <w:color w:val="auto"/>
                <w:szCs w:val="21"/>
                <w:lang w:val="en-US" w:eastAsia="zh-CN"/>
              </w:rPr>
              <w:t>XXXX</w:t>
            </w:r>
            <w:r>
              <w:rPr>
                <w:rFonts w:ascii="宋体" w:hAnsi="宋体"/>
                <w:color w:val="auto"/>
                <w:szCs w:val="21"/>
              </w:rPr>
              <w:t>年</w:t>
            </w:r>
            <w:r>
              <w:rPr>
                <w:rFonts w:hint="eastAsia" w:ascii="宋体" w:hAnsi="宋体"/>
                <w:color w:val="auto"/>
                <w:szCs w:val="21"/>
              </w:rPr>
              <w:t>1</w:t>
            </w:r>
            <w:r>
              <w:rPr>
                <w:rFonts w:ascii="宋体" w:hAnsi="宋体"/>
                <w:color w:val="auto"/>
                <w:szCs w:val="21"/>
              </w:rPr>
              <w:t>月</w:t>
            </w:r>
            <w:r>
              <w:rPr>
                <w:rFonts w:hint="eastAsia" w:ascii="宋体" w:hAnsi="宋体"/>
                <w:color w:val="auto"/>
                <w:szCs w:val="21"/>
                <w:lang w:eastAsia="zh-CN"/>
              </w:rPr>
              <w:t>—</w:t>
            </w:r>
            <w:r>
              <w:rPr>
                <w:rFonts w:ascii="宋体" w:hAnsi="宋体"/>
                <w:color w:val="auto"/>
                <w:szCs w:val="21"/>
              </w:rPr>
              <w:t>1</w:t>
            </w:r>
            <w:r>
              <w:rPr>
                <w:rFonts w:hint="eastAsia" w:ascii="宋体" w:hAnsi="宋体"/>
                <w:color w:val="auto"/>
                <w:szCs w:val="21"/>
              </w:rPr>
              <w:t>2</w:t>
            </w:r>
            <w:r>
              <w:rPr>
                <w:rFonts w:ascii="宋体" w:hAnsi="宋体"/>
                <w:color w:val="auto"/>
                <w:szCs w:val="21"/>
              </w:rPr>
              <w:t>月</w:t>
            </w:r>
            <w:r>
              <w:rPr>
                <w:rFonts w:hint="eastAsia" w:ascii="宋体" w:hAnsi="宋体"/>
                <w:color w:val="auto"/>
                <w:szCs w:val="21"/>
                <w:lang w:eastAsia="zh-CN"/>
              </w:rPr>
              <w:t>（</w:t>
            </w:r>
            <w:r>
              <w:rPr>
                <w:rFonts w:hint="eastAsia" w:ascii="宋体" w:hAnsi="宋体"/>
                <w:color w:val="auto"/>
                <w:szCs w:val="21"/>
                <w:lang w:val="en-US" w:eastAsia="zh-CN"/>
              </w:rPr>
              <w:t>具体办赛时间</w:t>
            </w:r>
            <w:r>
              <w:rPr>
                <w:rFonts w:hint="eastAsia" w:ascii="宋体" w:hAnsi="宋体" w:cs="宋体"/>
                <w:color w:val="auto"/>
              </w:rPr>
              <w:t>1～</w:t>
            </w:r>
            <w:r>
              <w:rPr>
                <w:rFonts w:hint="eastAsia" w:ascii="宋体" w:hAnsi="宋体" w:cs="宋体"/>
                <w:color w:val="auto"/>
                <w:lang w:val="en-US" w:eastAsia="zh-CN"/>
              </w:rPr>
              <w:t>4</w:t>
            </w:r>
            <w:r>
              <w:rPr>
                <w:rFonts w:hint="eastAsia" w:ascii="宋体" w:hAnsi="宋体" w:cs="宋体"/>
                <w:color w:val="auto"/>
              </w:rPr>
              <w:t>天</w:t>
            </w:r>
            <w:r>
              <w:rPr>
                <w:rFonts w:hint="eastAsia" w:ascii="宋体" w:hAnsi="宋体"/>
                <w:color w:val="auto"/>
                <w:szCs w:val="21"/>
                <w:lang w:eastAsia="zh-CN"/>
              </w:rPr>
              <w:t>）</w:t>
            </w:r>
          </w:p>
        </w:tc>
      </w:tr>
      <w:tr w14:paraId="5DC38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8" w:type="dxa"/>
            <w:vMerge w:val="restart"/>
            <w:tcBorders>
              <w:top w:val="single" w:color="auto" w:sz="4" w:space="0"/>
              <w:left w:val="single" w:color="auto" w:sz="4" w:space="0"/>
              <w:bottom w:val="single" w:color="auto" w:sz="4" w:space="0"/>
              <w:right w:val="single" w:color="auto" w:sz="4" w:space="0"/>
            </w:tcBorders>
            <w:noWrap w:val="0"/>
            <w:vAlign w:val="center"/>
          </w:tcPr>
          <w:p w14:paraId="0670EFAF">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b/>
                <w:bCs/>
                <w:color w:val="auto"/>
              </w:rPr>
            </w:pPr>
            <w:r>
              <w:rPr>
                <w:rFonts w:ascii="Times New Roman" w:hAnsi="Times New Roman"/>
                <w:b/>
                <w:bCs/>
                <w:color w:val="auto"/>
              </w:rPr>
              <w:t>承办条件</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1BC1C582">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ascii="Times New Roman" w:hAnsi="Times New Roman"/>
                <w:color w:val="auto"/>
                <w:szCs w:val="21"/>
              </w:rPr>
              <w:t>承办资质</w:t>
            </w:r>
          </w:p>
        </w:tc>
        <w:tc>
          <w:tcPr>
            <w:tcW w:w="5736" w:type="dxa"/>
            <w:gridSpan w:val="2"/>
            <w:tcBorders>
              <w:top w:val="single" w:color="auto" w:sz="4" w:space="0"/>
              <w:left w:val="single" w:color="auto" w:sz="4" w:space="0"/>
              <w:bottom w:val="single" w:color="auto" w:sz="4" w:space="0"/>
              <w:right w:val="single" w:color="auto" w:sz="4" w:space="0"/>
            </w:tcBorders>
            <w:noWrap w:val="0"/>
            <w:vAlign w:val="center"/>
          </w:tcPr>
          <w:p w14:paraId="6DF5B24D">
            <w:pPr>
              <w:keepNext w:val="0"/>
              <w:keepLines w:val="0"/>
              <w:pageBreakBefore w:val="0"/>
              <w:kinsoku/>
              <w:wordWrap/>
              <w:overflowPunct/>
              <w:topLinePunct w:val="0"/>
              <w:autoSpaceDE/>
              <w:autoSpaceDN/>
              <w:bidi w:val="0"/>
              <w:adjustRightInd/>
              <w:snapToGrid w:val="0"/>
              <w:spacing w:line="240" w:lineRule="auto"/>
              <w:ind w:right="0"/>
              <w:textAlignment w:val="auto"/>
              <w:rPr>
                <w:rFonts w:ascii="宋体" w:hAnsi="宋体"/>
                <w:color w:val="auto"/>
                <w:szCs w:val="21"/>
              </w:rPr>
            </w:pPr>
            <w:r>
              <w:rPr>
                <w:rFonts w:hint="eastAsia" w:ascii="宋体" w:hAnsi="宋体"/>
                <w:color w:val="auto"/>
                <w:szCs w:val="21"/>
              </w:rPr>
              <w:t>1.</w:t>
            </w:r>
            <w:r>
              <w:rPr>
                <w:rFonts w:ascii="宋体" w:hAnsi="宋体"/>
                <w:color w:val="auto"/>
                <w:szCs w:val="21"/>
              </w:rPr>
              <w:t>政府部门或具有独立法人资格的协会</w:t>
            </w:r>
            <w:r>
              <w:rPr>
                <w:rFonts w:hint="eastAsia" w:ascii="宋体" w:hAnsi="宋体"/>
                <w:color w:val="auto"/>
                <w:szCs w:val="21"/>
              </w:rPr>
              <w:t>、</w:t>
            </w:r>
            <w:r>
              <w:rPr>
                <w:rFonts w:ascii="宋体" w:hAnsi="宋体"/>
                <w:color w:val="auto"/>
                <w:szCs w:val="21"/>
              </w:rPr>
              <w:t>公司、社会团体等；</w:t>
            </w:r>
          </w:p>
          <w:p w14:paraId="38164298">
            <w:pPr>
              <w:keepNext w:val="0"/>
              <w:keepLines w:val="0"/>
              <w:pageBreakBefore w:val="0"/>
              <w:kinsoku/>
              <w:wordWrap/>
              <w:overflowPunct/>
              <w:topLinePunct w:val="0"/>
              <w:autoSpaceDE/>
              <w:autoSpaceDN/>
              <w:bidi w:val="0"/>
              <w:adjustRightInd/>
              <w:spacing w:line="240" w:lineRule="auto"/>
              <w:ind w:right="0"/>
              <w:textAlignment w:val="auto"/>
              <w:rPr>
                <w:rFonts w:ascii="Times New Roman" w:hAnsi="Times New Roman"/>
                <w:color w:val="auto"/>
                <w:szCs w:val="21"/>
              </w:rPr>
            </w:pPr>
            <w:r>
              <w:rPr>
                <w:rFonts w:hint="eastAsia" w:ascii="宋体" w:hAnsi="宋体"/>
                <w:color w:val="auto"/>
                <w:szCs w:val="21"/>
              </w:rPr>
              <w:t>2.</w:t>
            </w:r>
            <w:r>
              <w:rPr>
                <w:rFonts w:ascii="Times New Roman" w:hAnsi="Times New Roman"/>
                <w:color w:val="auto"/>
                <w:szCs w:val="21"/>
              </w:rPr>
              <w:t>出具区县级以上政府或体育部门的申办函，</w:t>
            </w:r>
            <w:r>
              <w:rPr>
                <w:rFonts w:ascii="宋体" w:hAnsi="宋体"/>
                <w:color w:val="auto"/>
                <w:szCs w:val="21"/>
              </w:rPr>
              <w:t>无不良信息记录。</w:t>
            </w:r>
          </w:p>
        </w:tc>
      </w:tr>
      <w:tr w14:paraId="6AEE2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8" w:type="dxa"/>
            <w:vMerge w:val="continue"/>
            <w:tcBorders>
              <w:top w:val="single" w:color="auto" w:sz="4" w:space="0"/>
              <w:left w:val="single" w:color="auto" w:sz="4" w:space="0"/>
              <w:bottom w:val="single" w:color="auto" w:sz="4" w:space="0"/>
              <w:right w:val="single" w:color="auto" w:sz="4" w:space="0"/>
            </w:tcBorders>
            <w:noWrap w:val="0"/>
            <w:vAlign w:val="center"/>
          </w:tcPr>
          <w:p w14:paraId="50B245B1">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b/>
                <w:bCs/>
                <w:color w:val="auto"/>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14:paraId="73FBB434">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ascii="Times New Roman" w:hAnsi="Times New Roman"/>
                <w:color w:val="auto"/>
                <w:szCs w:val="21"/>
              </w:rPr>
              <w:t>赛事保障</w:t>
            </w:r>
          </w:p>
        </w:tc>
        <w:tc>
          <w:tcPr>
            <w:tcW w:w="5736" w:type="dxa"/>
            <w:gridSpan w:val="2"/>
            <w:tcBorders>
              <w:top w:val="single" w:color="auto" w:sz="4" w:space="0"/>
              <w:left w:val="single" w:color="auto" w:sz="4" w:space="0"/>
              <w:bottom w:val="single" w:color="auto" w:sz="4" w:space="0"/>
              <w:right w:val="single" w:color="auto" w:sz="4" w:space="0"/>
            </w:tcBorders>
            <w:noWrap w:val="0"/>
            <w:vAlign w:val="center"/>
          </w:tcPr>
          <w:p w14:paraId="6A456BD0">
            <w:pPr>
              <w:keepNext w:val="0"/>
              <w:keepLines w:val="0"/>
              <w:pageBreakBefore w:val="0"/>
              <w:kinsoku/>
              <w:wordWrap/>
              <w:overflowPunct/>
              <w:topLinePunct w:val="0"/>
              <w:autoSpaceDE/>
              <w:autoSpaceDN/>
              <w:bidi w:val="0"/>
              <w:adjustRightInd/>
              <w:spacing w:line="240" w:lineRule="auto"/>
              <w:ind w:right="0"/>
              <w:textAlignment w:val="auto"/>
              <w:rPr>
                <w:rFonts w:hint="eastAsia" w:ascii="宋体" w:hAnsi="宋体" w:cs="宋体"/>
                <w:color w:val="auto"/>
              </w:rPr>
            </w:pPr>
            <w:r>
              <w:rPr>
                <w:rFonts w:hint="eastAsia" w:ascii="宋体" w:hAnsi="宋体" w:cs="宋体"/>
                <w:color w:val="auto"/>
              </w:rPr>
              <w:t>1.提供区县以上政府或体育部门申请报告</w:t>
            </w:r>
            <w:r>
              <w:rPr>
                <w:rFonts w:hint="eastAsia" w:ascii="宋体" w:hAnsi="宋体" w:cs="宋体"/>
                <w:color w:val="auto"/>
                <w:lang w:val="en-US" w:eastAsia="zh-CN"/>
              </w:rPr>
              <w:t>和《四案》</w:t>
            </w:r>
            <w:r>
              <w:rPr>
                <w:rFonts w:hint="eastAsia" w:ascii="宋体" w:hAnsi="宋体" w:cs="宋体"/>
                <w:color w:val="auto"/>
              </w:rPr>
              <w:t>，保障食宿、交通、医疗、卫生、公安</w:t>
            </w:r>
            <w:r>
              <w:rPr>
                <w:rFonts w:hint="eastAsia" w:ascii="宋体" w:hAnsi="宋体" w:cs="宋体"/>
                <w:color w:val="auto"/>
                <w:lang w:eastAsia="zh-CN"/>
              </w:rPr>
              <w:t>、</w:t>
            </w:r>
            <w:r>
              <w:rPr>
                <w:rFonts w:hint="eastAsia" w:ascii="宋体" w:hAnsi="宋体" w:cs="宋体"/>
                <w:color w:val="auto"/>
                <w:lang w:val="en-US" w:eastAsia="zh-CN"/>
              </w:rPr>
              <w:t>通讯、志愿者</w:t>
            </w:r>
            <w:r>
              <w:rPr>
                <w:rFonts w:hint="eastAsia" w:ascii="宋体" w:hAnsi="宋体" w:cs="宋体"/>
                <w:color w:val="auto"/>
              </w:rPr>
              <w:t>等。</w:t>
            </w:r>
          </w:p>
          <w:p w14:paraId="030BE6F6">
            <w:pPr>
              <w:keepNext w:val="0"/>
              <w:keepLines w:val="0"/>
              <w:pageBreakBefore w:val="0"/>
              <w:kinsoku/>
              <w:wordWrap/>
              <w:overflowPunct/>
              <w:topLinePunct w:val="0"/>
              <w:autoSpaceDE/>
              <w:autoSpaceDN/>
              <w:bidi w:val="0"/>
              <w:adjustRightInd/>
              <w:spacing w:line="240" w:lineRule="auto"/>
              <w:ind w:right="0"/>
              <w:textAlignment w:val="auto"/>
              <w:rPr>
                <w:rFonts w:hint="eastAsia" w:ascii="宋体" w:hAnsi="宋体" w:cs="宋体" w:eastAsiaTheme="minorEastAsia"/>
                <w:color w:val="auto"/>
                <w:lang w:eastAsia="zh-CN"/>
              </w:rPr>
            </w:pPr>
            <w:r>
              <w:rPr>
                <w:rFonts w:hint="eastAsia" w:ascii="宋体" w:hAnsi="宋体" w:cs="宋体"/>
                <w:color w:val="auto"/>
              </w:rPr>
              <w:t>2.有 3000 人以上开幕式场地</w:t>
            </w:r>
            <w:r>
              <w:rPr>
                <w:rFonts w:hint="eastAsia" w:ascii="宋体" w:hAnsi="宋体" w:cs="宋体"/>
                <w:color w:val="auto"/>
                <w:lang w:val="en-US" w:eastAsia="zh-CN"/>
              </w:rPr>
              <w:t>和</w:t>
            </w:r>
            <w:r>
              <w:rPr>
                <w:rFonts w:hint="eastAsia" w:ascii="宋体" w:hAnsi="宋体" w:cs="宋体"/>
                <w:color w:val="auto"/>
              </w:rPr>
              <w:t xml:space="preserve"> 5-</w:t>
            </w:r>
            <w:r>
              <w:rPr>
                <w:rFonts w:hint="eastAsia" w:ascii="宋体" w:hAnsi="宋体" w:cs="宋体"/>
                <w:color w:val="auto"/>
                <w:lang w:val="en-US" w:eastAsia="zh-CN"/>
              </w:rPr>
              <w:t>10</w:t>
            </w:r>
            <w:r>
              <w:rPr>
                <w:rFonts w:hint="eastAsia" w:ascii="宋体" w:hAnsi="宋体" w:cs="宋体"/>
                <w:color w:val="auto"/>
              </w:rPr>
              <w:t xml:space="preserve"> 公里特色安全赛道</w:t>
            </w:r>
            <w:r>
              <w:rPr>
                <w:rFonts w:hint="eastAsia" w:ascii="宋体" w:hAnsi="宋体" w:cs="宋体"/>
                <w:color w:val="auto"/>
                <w:lang w:eastAsia="zh-CN"/>
              </w:rPr>
              <w:t>。</w:t>
            </w:r>
          </w:p>
          <w:p w14:paraId="390DADCC">
            <w:pPr>
              <w:keepNext w:val="0"/>
              <w:keepLines w:val="0"/>
              <w:pageBreakBefore w:val="0"/>
              <w:kinsoku/>
              <w:wordWrap/>
              <w:overflowPunct/>
              <w:topLinePunct w:val="0"/>
              <w:autoSpaceDE/>
              <w:autoSpaceDN/>
              <w:bidi w:val="0"/>
              <w:adjustRightInd/>
              <w:spacing w:line="240" w:lineRule="auto"/>
              <w:ind w:right="0"/>
              <w:textAlignment w:val="auto"/>
              <w:rPr>
                <w:rFonts w:hint="eastAsia" w:ascii="宋体" w:hAnsi="宋体" w:cs="宋体"/>
                <w:color w:val="auto"/>
              </w:rPr>
            </w:pPr>
            <w:r>
              <w:rPr>
                <w:rFonts w:hint="eastAsia" w:ascii="宋体" w:hAnsi="宋体" w:cs="宋体"/>
                <w:color w:val="auto"/>
                <w:lang w:val="en-US" w:eastAsia="zh-CN"/>
              </w:rPr>
              <w:t>3</w:t>
            </w:r>
            <w:r>
              <w:rPr>
                <w:rFonts w:hint="eastAsia" w:ascii="宋体" w:hAnsi="宋体" w:cs="宋体"/>
                <w:color w:val="auto"/>
              </w:rPr>
              <w:t>.有打造城市名片和提升城市形象需求。​</w:t>
            </w:r>
          </w:p>
          <w:p w14:paraId="4508F36A">
            <w:pPr>
              <w:keepNext w:val="0"/>
              <w:keepLines w:val="0"/>
              <w:pageBreakBefore w:val="0"/>
              <w:kinsoku/>
              <w:wordWrap/>
              <w:overflowPunct/>
              <w:topLinePunct w:val="0"/>
              <w:autoSpaceDE/>
              <w:autoSpaceDN/>
              <w:bidi w:val="0"/>
              <w:adjustRightInd/>
              <w:spacing w:line="240" w:lineRule="auto"/>
              <w:ind w:right="0"/>
              <w:textAlignment w:val="auto"/>
              <w:rPr>
                <w:rFonts w:hint="eastAsia" w:ascii="宋体" w:hAnsi="宋体" w:cs="宋体"/>
                <w:color w:val="auto"/>
              </w:rPr>
            </w:pPr>
            <w:r>
              <w:rPr>
                <w:rFonts w:hint="eastAsia" w:ascii="宋体" w:hAnsi="宋体" w:cs="宋体"/>
                <w:color w:val="auto"/>
                <w:lang w:val="en-US" w:eastAsia="zh-CN"/>
              </w:rPr>
              <w:t>4</w:t>
            </w:r>
            <w:r>
              <w:rPr>
                <w:rFonts w:hint="eastAsia" w:ascii="宋体" w:hAnsi="宋体" w:cs="宋体"/>
                <w:color w:val="auto"/>
              </w:rPr>
              <w:t>.有打造国家级全民健身品牌赛事需求。​</w:t>
            </w:r>
          </w:p>
          <w:p w14:paraId="442BCFD8">
            <w:pPr>
              <w:keepNext w:val="0"/>
              <w:keepLines w:val="0"/>
              <w:pageBreakBefore w:val="0"/>
              <w:kinsoku/>
              <w:wordWrap/>
              <w:overflowPunct/>
              <w:topLinePunct w:val="0"/>
              <w:autoSpaceDE/>
              <w:autoSpaceDN/>
              <w:bidi w:val="0"/>
              <w:adjustRightInd/>
              <w:spacing w:line="240" w:lineRule="auto"/>
              <w:ind w:right="0"/>
              <w:textAlignment w:val="auto"/>
              <w:rPr>
                <w:rFonts w:hint="eastAsia" w:ascii="宋体" w:hAnsi="宋体" w:cs="宋体"/>
                <w:color w:val="auto"/>
              </w:rPr>
            </w:pPr>
            <w:r>
              <w:rPr>
                <w:rFonts w:hint="eastAsia" w:ascii="宋体" w:hAnsi="宋体" w:cs="宋体"/>
                <w:color w:val="auto"/>
                <w:lang w:val="en-US" w:eastAsia="zh-CN"/>
              </w:rPr>
              <w:t>5</w:t>
            </w:r>
            <w:r>
              <w:rPr>
                <w:rFonts w:hint="eastAsia" w:ascii="宋体" w:hAnsi="宋体" w:cs="宋体"/>
                <w:color w:val="auto"/>
              </w:rPr>
              <w:t>.有促进 “体育</w:t>
            </w:r>
            <w:r>
              <w:rPr>
                <w:rFonts w:ascii="宋体" w:hAnsi="宋体" w:cs="宋体"/>
                <w:color w:val="auto"/>
              </w:rPr>
              <w:t>+</w:t>
            </w:r>
            <w:r>
              <w:rPr>
                <w:rFonts w:hint="eastAsia" w:ascii="宋体" w:hAnsi="宋体" w:cs="宋体"/>
                <w:color w:val="auto"/>
              </w:rPr>
              <w:t>旅游</w:t>
            </w:r>
            <w:r>
              <w:rPr>
                <w:rFonts w:ascii="宋体" w:hAnsi="宋体" w:cs="宋体"/>
                <w:color w:val="auto"/>
              </w:rPr>
              <w:t>+</w:t>
            </w:r>
            <w:r>
              <w:rPr>
                <w:rFonts w:hint="eastAsia" w:ascii="宋体" w:hAnsi="宋体" w:cs="宋体"/>
                <w:color w:val="auto"/>
              </w:rPr>
              <w:t>文化</w:t>
            </w:r>
            <w:r>
              <w:rPr>
                <w:rFonts w:ascii="宋体" w:hAnsi="宋体" w:cs="宋体"/>
                <w:color w:val="auto"/>
              </w:rPr>
              <w:t>+</w:t>
            </w:r>
            <w:r>
              <w:rPr>
                <w:rFonts w:hint="eastAsia" w:ascii="宋体" w:hAnsi="宋体" w:cs="宋体"/>
                <w:color w:val="auto"/>
              </w:rPr>
              <w:t>经济” 协同发展需求。​</w:t>
            </w:r>
          </w:p>
          <w:p w14:paraId="7A8ADEBC">
            <w:pPr>
              <w:keepNext w:val="0"/>
              <w:keepLines w:val="0"/>
              <w:pageBreakBefore w:val="0"/>
              <w:kinsoku/>
              <w:wordWrap/>
              <w:overflowPunct/>
              <w:topLinePunct w:val="0"/>
              <w:autoSpaceDE/>
              <w:autoSpaceDN/>
              <w:bidi w:val="0"/>
              <w:adjustRightInd/>
              <w:spacing w:line="240" w:lineRule="auto"/>
              <w:ind w:right="0"/>
              <w:textAlignment w:val="auto"/>
              <w:rPr>
                <w:rFonts w:ascii="Times New Roman" w:hAnsi="Times New Roman"/>
                <w:color w:val="auto"/>
                <w:szCs w:val="21"/>
              </w:rPr>
            </w:pPr>
            <w:r>
              <w:rPr>
                <w:rFonts w:hint="eastAsia" w:ascii="宋体" w:hAnsi="宋体" w:cs="宋体"/>
                <w:color w:val="auto"/>
                <w:lang w:val="en-US" w:eastAsia="zh-CN"/>
              </w:rPr>
              <w:t>6</w:t>
            </w:r>
            <w:r>
              <w:rPr>
                <w:rFonts w:hint="eastAsia" w:ascii="宋体" w:hAnsi="宋体" w:cs="宋体"/>
                <w:color w:val="auto"/>
              </w:rPr>
              <w:t>.有推动赛事进景区、街区、商圈，转化经济增量需求。</w:t>
            </w:r>
          </w:p>
        </w:tc>
      </w:tr>
      <w:tr w14:paraId="39514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8" w:type="dxa"/>
            <w:vMerge w:val="continue"/>
            <w:tcBorders>
              <w:left w:val="single" w:color="auto" w:sz="4" w:space="0"/>
              <w:bottom w:val="single" w:color="auto" w:sz="4" w:space="0"/>
              <w:right w:val="single" w:color="auto" w:sz="4" w:space="0"/>
            </w:tcBorders>
            <w:noWrap w:val="0"/>
            <w:vAlign w:val="center"/>
          </w:tcPr>
          <w:p w14:paraId="3382CB16">
            <w:pPr>
              <w:keepNext w:val="0"/>
              <w:keepLines w:val="0"/>
              <w:pageBreakBefore w:val="0"/>
              <w:kinsoku/>
              <w:wordWrap/>
              <w:overflowPunct/>
              <w:topLinePunct w:val="0"/>
              <w:autoSpaceDE/>
              <w:autoSpaceDN/>
              <w:bidi w:val="0"/>
              <w:adjustRightInd/>
              <w:spacing w:line="240" w:lineRule="auto"/>
              <w:ind w:right="0"/>
              <w:jc w:val="center"/>
              <w:textAlignment w:val="auto"/>
              <w:rPr>
                <w:rFonts w:hint="eastAsia" w:ascii="Times New Roman" w:hAnsi="Times New Roman"/>
                <w:b/>
                <w:bCs/>
                <w:color w:val="auto"/>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14:paraId="3690C41E">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hint="eastAsia" w:ascii="Times New Roman" w:hAnsi="Times New Roman"/>
                <w:color w:val="auto"/>
                <w:szCs w:val="21"/>
              </w:rPr>
              <w:t>新闻宣传</w:t>
            </w:r>
          </w:p>
        </w:tc>
        <w:tc>
          <w:tcPr>
            <w:tcW w:w="5736" w:type="dxa"/>
            <w:gridSpan w:val="2"/>
            <w:tcBorders>
              <w:top w:val="single" w:color="auto" w:sz="4" w:space="0"/>
              <w:left w:val="single" w:color="auto" w:sz="4" w:space="0"/>
              <w:right w:val="single" w:color="auto" w:sz="4" w:space="0"/>
            </w:tcBorders>
            <w:noWrap w:val="0"/>
            <w:vAlign w:val="center"/>
          </w:tcPr>
          <w:p w14:paraId="29ECD5D2">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ascii="Times New Roman" w:hAnsi="Times New Roman"/>
                <w:color w:val="auto"/>
                <w:szCs w:val="21"/>
              </w:rPr>
            </w:pPr>
            <w:r>
              <w:rPr>
                <w:rFonts w:ascii="Times New Roman" w:hAnsi="Times New Roman"/>
                <w:color w:val="auto"/>
                <w:szCs w:val="21"/>
              </w:rPr>
              <w:t>1</w:t>
            </w:r>
            <w:r>
              <w:rPr>
                <w:rFonts w:hint="eastAsia" w:ascii="Times New Roman" w:hAnsi="Times New Roman"/>
                <w:color w:val="auto"/>
                <w:szCs w:val="21"/>
              </w:rPr>
              <w:t>.赛事综合新闻全网宣传报道。</w:t>
            </w:r>
          </w:p>
          <w:p w14:paraId="6594C71B">
            <w:pPr>
              <w:keepNext w:val="0"/>
              <w:keepLines w:val="0"/>
              <w:pageBreakBefore w:val="0"/>
              <w:widowControl w:val="0"/>
              <w:kinsoku/>
              <w:wordWrap/>
              <w:overflowPunct/>
              <w:topLinePunct w:val="0"/>
              <w:autoSpaceDE/>
              <w:autoSpaceDN/>
              <w:bidi w:val="0"/>
              <w:adjustRightInd/>
              <w:snapToGrid/>
              <w:spacing w:line="240" w:lineRule="auto"/>
              <w:ind w:right="0"/>
              <w:textAlignment w:val="auto"/>
              <w:rPr>
                <w:rFonts w:hint="default" w:ascii="Times New Roman" w:hAnsi="Times New Roman" w:eastAsia="宋体"/>
                <w:color w:val="auto"/>
                <w:szCs w:val="21"/>
                <w:lang w:val="en-US" w:eastAsia="zh-CN"/>
              </w:rPr>
            </w:pPr>
            <w:r>
              <w:rPr>
                <w:rFonts w:ascii="Times New Roman" w:hAnsi="Times New Roman"/>
                <w:color w:val="auto"/>
                <w:szCs w:val="21"/>
              </w:rPr>
              <w:t>2.</w:t>
            </w:r>
            <w:r>
              <w:rPr>
                <w:rFonts w:hint="eastAsia" w:ascii="Times New Roman" w:hAnsi="Times New Roman"/>
                <w:color w:val="auto"/>
                <w:szCs w:val="21"/>
              </w:rPr>
              <w:t>赛事全程网络直播、录播和专题报道。</w:t>
            </w:r>
          </w:p>
        </w:tc>
      </w:tr>
      <w:tr w14:paraId="08AE6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8" w:type="dxa"/>
            <w:vMerge w:val="restart"/>
            <w:tcBorders>
              <w:top w:val="single" w:color="auto" w:sz="4" w:space="0"/>
              <w:left w:val="single" w:color="auto" w:sz="4" w:space="0"/>
              <w:right w:val="single" w:color="auto" w:sz="4" w:space="0"/>
            </w:tcBorders>
            <w:noWrap w:val="0"/>
            <w:vAlign w:val="center"/>
          </w:tcPr>
          <w:p w14:paraId="39F11BD2">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b/>
                <w:bCs/>
                <w:color w:val="auto"/>
              </w:rPr>
            </w:pPr>
            <w:r>
              <w:rPr>
                <w:rFonts w:hint="eastAsia" w:ascii="Times New Roman" w:hAnsi="Times New Roman"/>
                <w:b/>
                <w:bCs/>
                <w:color w:val="auto"/>
              </w:rPr>
              <w:t>承办经费</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2D9F4F6D">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hint="eastAsia" w:ascii="Times New Roman" w:hAnsi="Times New Roman"/>
                <w:color w:val="auto"/>
                <w:szCs w:val="21"/>
              </w:rPr>
              <w:t>主办划拨</w:t>
            </w:r>
          </w:p>
        </w:tc>
        <w:tc>
          <w:tcPr>
            <w:tcW w:w="5736" w:type="dxa"/>
            <w:gridSpan w:val="2"/>
            <w:tcBorders>
              <w:top w:val="single" w:color="auto" w:sz="4" w:space="0"/>
              <w:left w:val="single" w:color="auto" w:sz="4" w:space="0"/>
              <w:bottom w:val="single" w:color="auto" w:sz="4" w:space="0"/>
              <w:right w:val="single" w:color="auto" w:sz="4" w:space="0"/>
            </w:tcBorders>
            <w:noWrap w:val="0"/>
            <w:vAlign w:val="center"/>
          </w:tcPr>
          <w:p w14:paraId="5859EF50">
            <w:pPr>
              <w:keepNext w:val="0"/>
              <w:keepLines w:val="0"/>
              <w:pageBreakBefore w:val="0"/>
              <w:kinsoku/>
              <w:wordWrap/>
              <w:overflowPunct/>
              <w:topLinePunct w:val="0"/>
              <w:autoSpaceDE/>
              <w:autoSpaceDN/>
              <w:bidi w:val="0"/>
              <w:adjustRightInd/>
              <w:spacing w:line="240" w:lineRule="auto"/>
              <w:ind w:right="0"/>
              <w:textAlignment w:val="auto"/>
              <w:rPr>
                <w:rFonts w:ascii="Times New Roman" w:hAnsi="Times New Roman"/>
                <w:color w:val="auto"/>
                <w:szCs w:val="21"/>
              </w:rPr>
            </w:pPr>
            <w:r>
              <w:rPr>
                <w:rFonts w:hint="eastAsia" w:ascii="Times New Roman" w:hAnsi="Times New Roman"/>
                <w:color w:val="auto"/>
                <w:szCs w:val="21"/>
              </w:rPr>
              <w:t>无</w:t>
            </w:r>
          </w:p>
        </w:tc>
      </w:tr>
      <w:tr w14:paraId="7E001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8" w:type="dxa"/>
            <w:vMerge w:val="continue"/>
            <w:tcBorders>
              <w:left w:val="single" w:color="auto" w:sz="4" w:space="0"/>
              <w:right w:val="single" w:color="auto" w:sz="4" w:space="0"/>
            </w:tcBorders>
            <w:noWrap w:val="0"/>
            <w:vAlign w:val="center"/>
          </w:tcPr>
          <w:p w14:paraId="3C06D0B0">
            <w:pPr>
              <w:keepNext w:val="0"/>
              <w:keepLines w:val="0"/>
              <w:pageBreakBefore w:val="0"/>
              <w:kinsoku/>
              <w:wordWrap/>
              <w:overflowPunct/>
              <w:topLinePunct w:val="0"/>
              <w:autoSpaceDE/>
              <w:autoSpaceDN/>
              <w:bidi w:val="0"/>
              <w:adjustRightInd/>
              <w:spacing w:line="240" w:lineRule="auto"/>
              <w:ind w:right="0"/>
              <w:jc w:val="center"/>
              <w:textAlignment w:val="auto"/>
              <w:rPr>
                <w:rFonts w:hint="eastAsia" w:ascii="Times New Roman" w:hAnsi="Times New Roman"/>
                <w:b/>
                <w:bCs/>
                <w:color w:val="auto"/>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14:paraId="2C2E6469">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hint="eastAsia" w:ascii="Times New Roman" w:hAnsi="Times New Roman"/>
                <w:color w:val="auto"/>
                <w:szCs w:val="21"/>
              </w:rPr>
              <w:t>承办经费</w:t>
            </w:r>
          </w:p>
        </w:tc>
        <w:tc>
          <w:tcPr>
            <w:tcW w:w="5736" w:type="dxa"/>
            <w:gridSpan w:val="2"/>
            <w:tcBorders>
              <w:top w:val="single" w:color="auto" w:sz="4" w:space="0"/>
              <w:left w:val="single" w:color="auto" w:sz="4" w:space="0"/>
              <w:bottom w:val="single" w:color="auto" w:sz="4" w:space="0"/>
              <w:right w:val="single" w:color="auto" w:sz="4" w:space="0"/>
            </w:tcBorders>
            <w:noWrap w:val="0"/>
            <w:vAlign w:val="center"/>
          </w:tcPr>
          <w:p w14:paraId="3C54BBF1">
            <w:pPr>
              <w:keepNext w:val="0"/>
              <w:keepLines w:val="0"/>
              <w:pageBreakBefore w:val="0"/>
              <w:kinsoku/>
              <w:wordWrap/>
              <w:overflowPunct/>
              <w:topLinePunct w:val="0"/>
              <w:autoSpaceDE/>
              <w:autoSpaceDN/>
              <w:bidi w:val="0"/>
              <w:adjustRightInd/>
              <w:spacing w:line="240" w:lineRule="auto"/>
              <w:ind w:right="0"/>
              <w:textAlignment w:val="auto"/>
              <w:rPr>
                <w:rFonts w:ascii="Times New Roman" w:hAnsi="Times New Roman"/>
                <w:color w:val="auto"/>
                <w:szCs w:val="21"/>
              </w:rPr>
            </w:pPr>
            <w:r>
              <w:rPr>
                <w:rFonts w:hint="eastAsia" w:ascii="宋体" w:hAnsi="宋体" w:cs="宋体"/>
                <w:color w:val="auto"/>
              </w:rPr>
              <w:t>需承担办赛经费约</w:t>
            </w:r>
            <w:r>
              <w:rPr>
                <w:rFonts w:hint="eastAsia" w:ascii="宋体" w:hAnsi="宋体" w:cs="宋体"/>
                <w:color w:val="auto"/>
                <w:lang w:val="en-US" w:eastAsia="zh-CN"/>
              </w:rPr>
              <w:t>XX</w:t>
            </w:r>
            <w:r>
              <w:rPr>
                <w:rFonts w:hint="eastAsia" w:ascii="宋体" w:hAnsi="宋体" w:cs="宋体"/>
                <w:color w:val="auto"/>
              </w:rPr>
              <w:t>万-</w:t>
            </w:r>
            <w:r>
              <w:rPr>
                <w:rFonts w:hint="eastAsia" w:ascii="宋体" w:hAnsi="宋体" w:cs="宋体"/>
                <w:color w:val="auto"/>
                <w:lang w:val="en-US" w:eastAsia="zh-CN"/>
              </w:rPr>
              <w:t>XXX</w:t>
            </w:r>
            <w:r>
              <w:rPr>
                <w:rFonts w:hint="eastAsia" w:ascii="宋体" w:hAnsi="宋体" w:cs="宋体"/>
                <w:color w:val="auto"/>
              </w:rPr>
              <w:t>万元（主要包括赛事活动技术服务费、专业技术人员聘请、交通食宿、媒体宣传、奥运冠军代言、央视新闻报道、物料设计、赛事服装、场地器材、广告搭建、赛事执行、计时芯片、赛事拍摄、</w:t>
            </w:r>
            <w:r>
              <w:rPr>
                <w:rFonts w:hint="eastAsia" w:ascii="宋体" w:hAnsi="宋体" w:cs="宋体"/>
                <w:color w:val="auto"/>
                <w:lang w:val="en-US" w:eastAsia="zh-CN"/>
              </w:rPr>
              <w:t>全网直播、</w:t>
            </w:r>
            <w:r>
              <w:rPr>
                <w:rFonts w:hint="eastAsia" w:ascii="宋体" w:hAnsi="宋体" w:cs="宋体"/>
                <w:color w:val="auto"/>
              </w:rPr>
              <w:t>奖金、技术人员劳务费等；不含政府公共服务费用）。以实际赛事方案和协议为准。</w:t>
            </w:r>
          </w:p>
        </w:tc>
      </w:tr>
      <w:tr w14:paraId="6E6CE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8" w:type="dxa"/>
            <w:vMerge w:val="restart"/>
            <w:tcBorders>
              <w:left w:val="single" w:color="auto" w:sz="4" w:space="0"/>
              <w:right w:val="single" w:color="auto" w:sz="4" w:space="0"/>
            </w:tcBorders>
            <w:noWrap w:val="0"/>
            <w:vAlign w:val="center"/>
          </w:tcPr>
          <w:p w14:paraId="01F6A31D">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b/>
                <w:bCs/>
                <w:color w:val="auto"/>
              </w:rPr>
            </w:pPr>
            <w:r>
              <w:rPr>
                <w:rFonts w:hint="eastAsia" w:ascii="Times New Roman" w:hAnsi="Times New Roman"/>
                <w:b/>
                <w:bCs/>
                <w:color w:val="auto"/>
              </w:rPr>
              <w:t>申办程序</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52D3C12E">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hint="eastAsia" w:ascii="Times New Roman" w:hAnsi="Times New Roman"/>
                <w:color w:val="auto"/>
                <w:szCs w:val="21"/>
              </w:rPr>
              <w:t>申办报名</w:t>
            </w:r>
          </w:p>
        </w:tc>
        <w:tc>
          <w:tcPr>
            <w:tcW w:w="5736" w:type="dxa"/>
            <w:gridSpan w:val="2"/>
            <w:tcBorders>
              <w:top w:val="single" w:color="auto" w:sz="4" w:space="0"/>
              <w:left w:val="single" w:color="auto" w:sz="4" w:space="0"/>
              <w:bottom w:val="single" w:color="auto" w:sz="4" w:space="0"/>
              <w:right w:val="single" w:color="auto" w:sz="4" w:space="0"/>
            </w:tcBorders>
            <w:noWrap w:val="0"/>
            <w:vAlign w:val="center"/>
          </w:tcPr>
          <w:p w14:paraId="57C36E00">
            <w:pPr>
              <w:keepNext w:val="0"/>
              <w:keepLines w:val="0"/>
              <w:pageBreakBefore w:val="0"/>
              <w:kinsoku/>
              <w:wordWrap/>
              <w:overflowPunct/>
              <w:topLinePunct w:val="0"/>
              <w:autoSpaceDE/>
              <w:autoSpaceDN/>
              <w:bidi w:val="0"/>
              <w:adjustRightInd/>
              <w:spacing w:line="240" w:lineRule="auto"/>
              <w:ind w:right="0"/>
              <w:textAlignment w:val="auto"/>
              <w:rPr>
                <w:rFonts w:ascii="Times New Roman" w:hAnsi="Times New Roman"/>
                <w:color w:val="auto"/>
                <w:szCs w:val="21"/>
              </w:rPr>
            </w:pPr>
            <w:r>
              <w:rPr>
                <w:rFonts w:hint="eastAsia" w:ascii="宋体" w:hAnsi="宋体" w:cs="宋体"/>
                <w:color w:val="auto"/>
              </w:rPr>
              <w:t>承办单位填写申办意向书并加盖公章，扫描</w:t>
            </w:r>
            <w:r>
              <w:rPr>
                <w:rFonts w:hint="eastAsia" w:ascii="宋体" w:hAnsi="宋体" w:cs="宋体"/>
                <w:color w:val="auto"/>
                <w:lang w:eastAsia="zh-CN"/>
              </w:rPr>
              <w:t>发送至</w:t>
            </w:r>
            <w:r>
              <w:rPr>
                <w:rFonts w:hint="eastAsia" w:ascii="宋体" w:hAnsi="宋体" w:cs="宋体"/>
                <w:color w:val="auto"/>
                <w:lang w:val="en-US" w:eastAsia="zh-CN"/>
              </w:rPr>
              <w:t>XXXX（邮箱）</w:t>
            </w:r>
            <w:r>
              <w:rPr>
                <w:rFonts w:hint="eastAsia" w:ascii="宋体" w:hAnsi="宋体" w:cs="宋体"/>
                <w:color w:val="auto"/>
              </w:rPr>
              <w:t>，截止时间为</w:t>
            </w:r>
            <w:r>
              <w:rPr>
                <w:rFonts w:hint="eastAsia" w:ascii="宋体" w:hAnsi="宋体" w:cs="宋体"/>
                <w:color w:val="auto"/>
                <w:lang w:val="en-US" w:eastAsia="zh-CN"/>
              </w:rPr>
              <w:t xml:space="preserve">    </w:t>
            </w:r>
            <w:r>
              <w:rPr>
                <w:rFonts w:hint="eastAsia" w:ascii="宋体" w:hAnsi="宋体" w:cs="宋体"/>
                <w:color w:val="auto"/>
              </w:rPr>
              <w:t>年</w:t>
            </w:r>
            <w:r>
              <w:rPr>
                <w:rFonts w:hint="eastAsia" w:ascii="宋体" w:hAnsi="宋体" w:cs="宋体"/>
                <w:color w:val="auto"/>
                <w:lang w:val="en-US" w:eastAsia="zh-CN"/>
              </w:rPr>
              <w:t xml:space="preserve">  </w:t>
            </w:r>
            <w:r>
              <w:rPr>
                <w:rFonts w:hint="eastAsia" w:ascii="宋体" w:hAnsi="宋体" w:cs="宋体"/>
                <w:color w:val="auto"/>
              </w:rPr>
              <w:t>月</w:t>
            </w:r>
            <w:r>
              <w:rPr>
                <w:rFonts w:hint="eastAsia" w:ascii="宋体" w:hAnsi="宋体" w:cs="宋体"/>
                <w:color w:val="auto"/>
                <w:lang w:val="en-US" w:eastAsia="zh-CN"/>
              </w:rPr>
              <w:t xml:space="preserve">  </w:t>
            </w:r>
            <w:r>
              <w:rPr>
                <w:rFonts w:hint="eastAsia" w:ascii="宋体" w:hAnsi="宋体" w:cs="宋体"/>
                <w:color w:val="auto"/>
              </w:rPr>
              <w:t>日</w:t>
            </w:r>
          </w:p>
        </w:tc>
      </w:tr>
      <w:tr w14:paraId="641DF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8" w:type="dxa"/>
            <w:vMerge w:val="continue"/>
            <w:tcBorders>
              <w:left w:val="single" w:color="auto" w:sz="4" w:space="0"/>
              <w:right w:val="single" w:color="auto" w:sz="4" w:space="0"/>
            </w:tcBorders>
            <w:noWrap w:val="0"/>
            <w:vAlign w:val="center"/>
          </w:tcPr>
          <w:p w14:paraId="5411EBC9">
            <w:pPr>
              <w:keepNext w:val="0"/>
              <w:keepLines w:val="0"/>
              <w:pageBreakBefore w:val="0"/>
              <w:kinsoku/>
              <w:wordWrap/>
              <w:overflowPunct/>
              <w:topLinePunct w:val="0"/>
              <w:autoSpaceDE/>
              <w:autoSpaceDN/>
              <w:bidi w:val="0"/>
              <w:adjustRightInd/>
              <w:spacing w:line="240" w:lineRule="auto"/>
              <w:ind w:right="0"/>
              <w:jc w:val="center"/>
              <w:textAlignment w:val="auto"/>
              <w:rPr>
                <w:rFonts w:hint="eastAsia" w:ascii="Times New Roman" w:hAnsi="Times New Roman"/>
                <w:b/>
                <w:bCs/>
                <w:color w:val="auto"/>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14:paraId="643BF1D7">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hint="eastAsia" w:ascii="Times New Roman" w:hAnsi="Times New Roman"/>
                <w:color w:val="auto"/>
                <w:szCs w:val="21"/>
              </w:rPr>
              <w:t>评审确认</w:t>
            </w:r>
          </w:p>
        </w:tc>
        <w:tc>
          <w:tcPr>
            <w:tcW w:w="5736" w:type="dxa"/>
            <w:gridSpan w:val="2"/>
            <w:tcBorders>
              <w:top w:val="single" w:color="auto" w:sz="4" w:space="0"/>
              <w:left w:val="single" w:color="auto" w:sz="4" w:space="0"/>
              <w:bottom w:val="single" w:color="auto" w:sz="4" w:space="0"/>
              <w:right w:val="single" w:color="auto" w:sz="4" w:space="0"/>
            </w:tcBorders>
            <w:noWrap w:val="0"/>
            <w:vAlign w:val="center"/>
          </w:tcPr>
          <w:p w14:paraId="6EBD940C">
            <w:pPr>
              <w:keepNext w:val="0"/>
              <w:keepLines w:val="0"/>
              <w:pageBreakBefore w:val="0"/>
              <w:kinsoku/>
              <w:wordWrap/>
              <w:overflowPunct/>
              <w:topLinePunct w:val="0"/>
              <w:autoSpaceDE/>
              <w:autoSpaceDN/>
              <w:bidi w:val="0"/>
              <w:adjustRightInd/>
              <w:spacing w:line="240" w:lineRule="auto"/>
              <w:ind w:right="0"/>
              <w:textAlignment w:val="auto"/>
              <w:rPr>
                <w:rFonts w:hint="eastAsia" w:ascii="宋体" w:hAnsi="宋体" w:cs="宋体"/>
                <w:color w:val="auto"/>
              </w:rPr>
            </w:pPr>
            <w:r>
              <w:rPr>
                <w:rFonts w:hint="eastAsia" w:ascii="宋体" w:hAnsi="宋体" w:cs="宋体"/>
                <w:color w:val="auto"/>
              </w:rPr>
              <w:t>召开赛事评审会，评审组提出建议，报社体中心研究确认。</w:t>
            </w:r>
          </w:p>
        </w:tc>
      </w:tr>
      <w:tr w14:paraId="6307D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8" w:type="dxa"/>
            <w:vMerge w:val="continue"/>
            <w:tcBorders>
              <w:left w:val="single" w:color="auto" w:sz="4" w:space="0"/>
              <w:right w:val="single" w:color="auto" w:sz="4" w:space="0"/>
            </w:tcBorders>
            <w:noWrap w:val="0"/>
            <w:vAlign w:val="center"/>
          </w:tcPr>
          <w:p w14:paraId="34113BEA">
            <w:pPr>
              <w:keepNext w:val="0"/>
              <w:keepLines w:val="0"/>
              <w:pageBreakBefore w:val="0"/>
              <w:kinsoku/>
              <w:wordWrap/>
              <w:overflowPunct/>
              <w:topLinePunct w:val="0"/>
              <w:autoSpaceDE/>
              <w:autoSpaceDN/>
              <w:bidi w:val="0"/>
              <w:adjustRightInd/>
              <w:spacing w:line="240" w:lineRule="auto"/>
              <w:ind w:right="0"/>
              <w:jc w:val="center"/>
              <w:textAlignment w:val="auto"/>
              <w:rPr>
                <w:rFonts w:hint="eastAsia" w:ascii="Times New Roman" w:hAnsi="Times New Roman"/>
                <w:b/>
                <w:bCs/>
                <w:color w:val="auto"/>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14:paraId="046010AA">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hint="eastAsia" w:ascii="Times New Roman" w:hAnsi="Times New Roman"/>
                <w:color w:val="auto"/>
                <w:szCs w:val="21"/>
              </w:rPr>
              <w:t>网上公示</w:t>
            </w:r>
          </w:p>
        </w:tc>
        <w:tc>
          <w:tcPr>
            <w:tcW w:w="5736" w:type="dxa"/>
            <w:gridSpan w:val="2"/>
            <w:tcBorders>
              <w:top w:val="single" w:color="auto" w:sz="4" w:space="0"/>
              <w:left w:val="single" w:color="auto" w:sz="4" w:space="0"/>
              <w:bottom w:val="single" w:color="auto" w:sz="4" w:space="0"/>
              <w:right w:val="single" w:color="auto" w:sz="4" w:space="0"/>
            </w:tcBorders>
            <w:noWrap w:val="0"/>
            <w:vAlign w:val="center"/>
          </w:tcPr>
          <w:p w14:paraId="1DA93A54">
            <w:pPr>
              <w:keepNext w:val="0"/>
              <w:keepLines w:val="0"/>
              <w:pageBreakBefore w:val="0"/>
              <w:kinsoku/>
              <w:wordWrap/>
              <w:overflowPunct/>
              <w:topLinePunct w:val="0"/>
              <w:autoSpaceDE/>
              <w:autoSpaceDN/>
              <w:bidi w:val="0"/>
              <w:adjustRightInd/>
              <w:spacing w:line="240" w:lineRule="auto"/>
              <w:ind w:right="0"/>
              <w:textAlignment w:val="auto"/>
              <w:rPr>
                <w:rFonts w:hint="eastAsia" w:ascii="宋体" w:hAnsi="宋体" w:cs="宋体"/>
                <w:color w:val="auto"/>
              </w:rPr>
            </w:pPr>
            <w:r>
              <w:rPr>
                <w:rFonts w:hint="eastAsia" w:ascii="宋体" w:hAnsi="宋体" w:cs="宋体"/>
                <w:color w:val="auto"/>
              </w:rPr>
              <w:t>确认承办单位后在社体中心网站公示。</w:t>
            </w:r>
          </w:p>
        </w:tc>
      </w:tr>
      <w:tr w14:paraId="789B6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8" w:type="dxa"/>
            <w:vMerge w:val="continue"/>
            <w:tcBorders>
              <w:left w:val="single" w:color="auto" w:sz="4" w:space="0"/>
              <w:bottom w:val="single" w:color="auto" w:sz="4" w:space="0"/>
              <w:right w:val="single" w:color="auto" w:sz="4" w:space="0"/>
            </w:tcBorders>
            <w:noWrap w:val="0"/>
            <w:vAlign w:val="center"/>
          </w:tcPr>
          <w:p w14:paraId="3AC6B332">
            <w:pPr>
              <w:keepNext w:val="0"/>
              <w:keepLines w:val="0"/>
              <w:pageBreakBefore w:val="0"/>
              <w:kinsoku/>
              <w:wordWrap/>
              <w:overflowPunct/>
              <w:topLinePunct w:val="0"/>
              <w:autoSpaceDE/>
              <w:autoSpaceDN/>
              <w:bidi w:val="0"/>
              <w:adjustRightInd/>
              <w:spacing w:line="240" w:lineRule="auto"/>
              <w:ind w:right="0"/>
              <w:jc w:val="center"/>
              <w:textAlignment w:val="auto"/>
              <w:rPr>
                <w:rFonts w:hint="eastAsia" w:ascii="Times New Roman" w:hAnsi="Times New Roman"/>
                <w:b/>
                <w:bCs/>
                <w:color w:val="auto"/>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14:paraId="115FEFD6">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hint="eastAsia" w:ascii="Times New Roman" w:hAnsi="Times New Roman"/>
                <w:color w:val="auto"/>
                <w:szCs w:val="21"/>
              </w:rPr>
              <w:t>合同签订</w:t>
            </w:r>
          </w:p>
        </w:tc>
        <w:tc>
          <w:tcPr>
            <w:tcW w:w="5736" w:type="dxa"/>
            <w:gridSpan w:val="2"/>
            <w:tcBorders>
              <w:top w:val="single" w:color="auto" w:sz="4" w:space="0"/>
              <w:left w:val="single" w:color="auto" w:sz="4" w:space="0"/>
              <w:right w:val="single" w:color="auto" w:sz="4" w:space="0"/>
            </w:tcBorders>
            <w:noWrap w:val="0"/>
            <w:vAlign w:val="center"/>
          </w:tcPr>
          <w:p w14:paraId="334C1985">
            <w:pPr>
              <w:keepNext w:val="0"/>
              <w:keepLines w:val="0"/>
              <w:pageBreakBefore w:val="0"/>
              <w:kinsoku/>
              <w:wordWrap/>
              <w:overflowPunct/>
              <w:topLinePunct w:val="0"/>
              <w:autoSpaceDE/>
              <w:autoSpaceDN/>
              <w:bidi w:val="0"/>
              <w:adjustRightInd/>
              <w:spacing w:line="240" w:lineRule="auto"/>
              <w:ind w:right="0"/>
              <w:textAlignment w:val="auto"/>
              <w:rPr>
                <w:rFonts w:hint="eastAsia" w:ascii="宋体" w:hAnsi="宋体" w:cs="宋体"/>
                <w:color w:val="auto"/>
                <w:szCs w:val="21"/>
              </w:rPr>
            </w:pPr>
            <w:r>
              <w:rPr>
                <w:rFonts w:hint="eastAsia" w:ascii="宋体" w:hAnsi="宋体" w:cs="宋体"/>
                <w:color w:val="auto"/>
                <w:szCs w:val="21"/>
              </w:rPr>
              <w:t>官网公示无异议后签订赛事合同。</w:t>
            </w:r>
          </w:p>
        </w:tc>
      </w:tr>
      <w:tr w14:paraId="3D4E8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8" w:type="dxa"/>
            <w:vMerge w:val="restart"/>
            <w:tcBorders>
              <w:left w:val="single" w:color="auto" w:sz="4" w:space="0"/>
              <w:right w:val="single" w:color="auto" w:sz="4" w:space="0"/>
            </w:tcBorders>
            <w:noWrap w:val="0"/>
            <w:vAlign w:val="center"/>
          </w:tcPr>
          <w:p w14:paraId="6FD21D49">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b/>
                <w:bCs/>
                <w:color w:val="auto"/>
              </w:rPr>
            </w:pPr>
            <w:r>
              <w:rPr>
                <w:rFonts w:hint="eastAsia" w:ascii="Times New Roman" w:hAnsi="Times New Roman"/>
                <w:b/>
                <w:bCs/>
                <w:color w:val="auto"/>
              </w:rPr>
              <w:t>联系方式</w:t>
            </w:r>
          </w:p>
        </w:tc>
        <w:tc>
          <w:tcPr>
            <w:tcW w:w="1373" w:type="dxa"/>
            <w:tcBorders>
              <w:top w:val="single" w:color="auto" w:sz="4" w:space="0"/>
              <w:left w:val="single" w:color="auto" w:sz="4" w:space="0"/>
              <w:bottom w:val="single" w:color="auto" w:sz="4" w:space="0"/>
              <w:right w:val="single" w:color="auto" w:sz="4" w:space="0"/>
            </w:tcBorders>
            <w:noWrap w:val="0"/>
            <w:vAlign w:val="center"/>
          </w:tcPr>
          <w:p w14:paraId="311CB2B2">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hint="eastAsia" w:ascii="Times New Roman" w:hAnsi="Times New Roman"/>
                <w:color w:val="auto"/>
                <w:szCs w:val="21"/>
              </w:rPr>
              <w:t>单位</w:t>
            </w:r>
          </w:p>
        </w:tc>
        <w:tc>
          <w:tcPr>
            <w:tcW w:w="5736" w:type="dxa"/>
            <w:gridSpan w:val="2"/>
            <w:tcBorders>
              <w:top w:val="single" w:color="auto" w:sz="4" w:space="0"/>
              <w:left w:val="single" w:color="auto" w:sz="4" w:space="0"/>
              <w:bottom w:val="single" w:color="auto" w:sz="4" w:space="0"/>
              <w:right w:val="single" w:color="auto" w:sz="4" w:space="0"/>
            </w:tcBorders>
            <w:noWrap w:val="0"/>
            <w:vAlign w:val="center"/>
          </w:tcPr>
          <w:p w14:paraId="677BF56B">
            <w:pPr>
              <w:keepNext w:val="0"/>
              <w:keepLines w:val="0"/>
              <w:pageBreakBefore w:val="0"/>
              <w:kinsoku/>
              <w:wordWrap/>
              <w:overflowPunct/>
              <w:topLinePunct w:val="0"/>
              <w:autoSpaceDE/>
              <w:autoSpaceDN/>
              <w:bidi w:val="0"/>
              <w:adjustRightInd/>
              <w:spacing w:line="240" w:lineRule="auto"/>
              <w:ind w:right="0"/>
              <w:textAlignment w:val="auto"/>
              <w:rPr>
                <w:rFonts w:hint="eastAsia" w:ascii="宋体" w:hAnsi="宋体" w:cs="宋体"/>
                <w:color w:val="auto"/>
                <w:szCs w:val="21"/>
              </w:rPr>
            </w:pPr>
          </w:p>
        </w:tc>
      </w:tr>
      <w:tr w14:paraId="79DF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8" w:type="dxa"/>
            <w:vMerge w:val="continue"/>
            <w:tcBorders>
              <w:left w:val="single" w:color="auto" w:sz="4" w:space="0"/>
              <w:right w:val="single" w:color="auto" w:sz="4" w:space="0"/>
            </w:tcBorders>
            <w:noWrap w:val="0"/>
            <w:vAlign w:val="center"/>
          </w:tcPr>
          <w:p w14:paraId="2CD4A00E">
            <w:pPr>
              <w:keepNext w:val="0"/>
              <w:keepLines w:val="0"/>
              <w:pageBreakBefore w:val="0"/>
              <w:kinsoku/>
              <w:wordWrap/>
              <w:overflowPunct/>
              <w:topLinePunct w:val="0"/>
              <w:autoSpaceDE/>
              <w:autoSpaceDN/>
              <w:bidi w:val="0"/>
              <w:adjustRightInd/>
              <w:spacing w:line="240" w:lineRule="auto"/>
              <w:ind w:right="0"/>
              <w:jc w:val="center"/>
              <w:textAlignment w:val="auto"/>
              <w:rPr>
                <w:rFonts w:hint="eastAsia" w:ascii="Times New Roman" w:hAnsi="Times New Roman"/>
                <w:b/>
                <w:bCs/>
                <w:color w:val="auto"/>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14:paraId="1E0EF397">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hint="eastAsia" w:ascii="Times New Roman" w:hAnsi="Times New Roman"/>
                <w:color w:val="auto"/>
                <w:szCs w:val="21"/>
              </w:rPr>
              <w:t>地址</w:t>
            </w:r>
          </w:p>
        </w:tc>
        <w:tc>
          <w:tcPr>
            <w:tcW w:w="5736" w:type="dxa"/>
            <w:gridSpan w:val="2"/>
            <w:tcBorders>
              <w:top w:val="single" w:color="auto" w:sz="4" w:space="0"/>
              <w:left w:val="single" w:color="auto" w:sz="4" w:space="0"/>
              <w:bottom w:val="single" w:color="auto" w:sz="4" w:space="0"/>
              <w:right w:val="single" w:color="auto" w:sz="4" w:space="0"/>
            </w:tcBorders>
            <w:noWrap w:val="0"/>
            <w:vAlign w:val="center"/>
          </w:tcPr>
          <w:p w14:paraId="23FDA8BC">
            <w:pPr>
              <w:pStyle w:val="6"/>
              <w:keepNext w:val="0"/>
              <w:keepLines w:val="0"/>
              <w:pageBreakBefore w:val="0"/>
              <w:widowControl/>
              <w:kinsoku/>
              <w:wordWrap/>
              <w:overflowPunct/>
              <w:topLinePunct w:val="0"/>
              <w:autoSpaceDE/>
              <w:autoSpaceDN/>
              <w:bidi w:val="0"/>
              <w:adjustRightInd/>
              <w:spacing w:beforeAutospacing="0" w:afterAutospacing="0" w:line="240" w:lineRule="auto"/>
              <w:ind w:right="0"/>
              <w:textAlignment w:val="auto"/>
              <w:rPr>
                <w:rFonts w:hint="eastAsia" w:ascii="宋体" w:hAnsi="宋体" w:cs="宋体"/>
                <w:color w:val="auto"/>
                <w:kern w:val="2"/>
                <w:sz w:val="21"/>
                <w:szCs w:val="21"/>
              </w:rPr>
            </w:pPr>
          </w:p>
        </w:tc>
      </w:tr>
      <w:tr w14:paraId="0365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408" w:type="dxa"/>
            <w:vMerge w:val="continue"/>
            <w:tcBorders>
              <w:left w:val="single" w:color="auto" w:sz="4" w:space="0"/>
              <w:right w:val="single" w:color="auto" w:sz="4" w:space="0"/>
            </w:tcBorders>
            <w:noWrap w:val="0"/>
            <w:vAlign w:val="center"/>
          </w:tcPr>
          <w:p w14:paraId="0D168CB3">
            <w:pPr>
              <w:keepNext w:val="0"/>
              <w:keepLines w:val="0"/>
              <w:pageBreakBefore w:val="0"/>
              <w:kinsoku/>
              <w:wordWrap/>
              <w:overflowPunct/>
              <w:topLinePunct w:val="0"/>
              <w:autoSpaceDE/>
              <w:autoSpaceDN/>
              <w:bidi w:val="0"/>
              <w:adjustRightInd/>
              <w:spacing w:line="240" w:lineRule="auto"/>
              <w:ind w:right="0"/>
              <w:jc w:val="center"/>
              <w:textAlignment w:val="auto"/>
              <w:rPr>
                <w:rFonts w:hint="eastAsia" w:ascii="Times New Roman" w:hAnsi="Times New Roman"/>
                <w:b/>
                <w:bCs/>
                <w:color w:val="auto"/>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14:paraId="6077463A">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hint="eastAsia" w:ascii="Times New Roman" w:hAnsi="Times New Roman"/>
                <w:color w:val="auto"/>
                <w:szCs w:val="21"/>
              </w:rPr>
              <w:t>联系人</w:t>
            </w:r>
          </w:p>
        </w:tc>
        <w:tc>
          <w:tcPr>
            <w:tcW w:w="5736" w:type="dxa"/>
            <w:gridSpan w:val="2"/>
            <w:tcBorders>
              <w:top w:val="single" w:color="auto" w:sz="4" w:space="0"/>
              <w:left w:val="single" w:color="auto" w:sz="4" w:space="0"/>
              <w:bottom w:val="single" w:color="auto" w:sz="4" w:space="0"/>
              <w:right w:val="single" w:color="auto" w:sz="4" w:space="0"/>
            </w:tcBorders>
            <w:noWrap w:val="0"/>
            <w:vAlign w:val="center"/>
          </w:tcPr>
          <w:p w14:paraId="2894BD01">
            <w:pPr>
              <w:keepNext w:val="0"/>
              <w:keepLines w:val="0"/>
              <w:pageBreakBefore w:val="0"/>
              <w:kinsoku/>
              <w:wordWrap/>
              <w:overflowPunct/>
              <w:topLinePunct w:val="0"/>
              <w:autoSpaceDE/>
              <w:autoSpaceDN/>
              <w:bidi w:val="0"/>
              <w:adjustRightInd/>
              <w:spacing w:line="240" w:lineRule="auto"/>
              <w:ind w:right="0"/>
              <w:textAlignment w:val="auto"/>
              <w:rPr>
                <w:rFonts w:hint="eastAsia" w:ascii="宋体" w:hAnsi="宋体" w:cs="宋体"/>
                <w:color w:val="auto"/>
                <w:szCs w:val="21"/>
                <w:shd w:val="clear" w:color="auto" w:fill="FFFFFF"/>
              </w:rPr>
            </w:pPr>
          </w:p>
        </w:tc>
      </w:tr>
      <w:tr w14:paraId="2FB3FF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408" w:type="dxa"/>
            <w:vMerge w:val="continue"/>
            <w:tcBorders>
              <w:left w:val="single" w:color="auto" w:sz="4" w:space="0"/>
              <w:right w:val="single" w:color="auto" w:sz="4" w:space="0"/>
            </w:tcBorders>
            <w:noWrap w:val="0"/>
            <w:vAlign w:val="center"/>
          </w:tcPr>
          <w:p w14:paraId="1537EB02">
            <w:pPr>
              <w:keepNext w:val="0"/>
              <w:keepLines w:val="0"/>
              <w:pageBreakBefore w:val="0"/>
              <w:kinsoku/>
              <w:wordWrap/>
              <w:overflowPunct/>
              <w:topLinePunct w:val="0"/>
              <w:autoSpaceDE/>
              <w:autoSpaceDN/>
              <w:bidi w:val="0"/>
              <w:adjustRightInd/>
              <w:spacing w:line="240" w:lineRule="auto"/>
              <w:ind w:right="0"/>
              <w:jc w:val="center"/>
              <w:textAlignment w:val="auto"/>
              <w:rPr>
                <w:rFonts w:hint="eastAsia" w:ascii="Times New Roman" w:hAnsi="Times New Roman"/>
                <w:b/>
                <w:bCs/>
                <w:color w:val="auto"/>
              </w:rPr>
            </w:pPr>
          </w:p>
        </w:tc>
        <w:tc>
          <w:tcPr>
            <w:tcW w:w="1373" w:type="dxa"/>
            <w:tcBorders>
              <w:top w:val="single" w:color="auto" w:sz="4" w:space="0"/>
              <w:left w:val="single" w:color="auto" w:sz="4" w:space="0"/>
              <w:bottom w:val="single" w:color="auto" w:sz="4" w:space="0"/>
              <w:right w:val="single" w:color="auto" w:sz="4" w:space="0"/>
            </w:tcBorders>
            <w:noWrap w:val="0"/>
            <w:vAlign w:val="center"/>
          </w:tcPr>
          <w:p w14:paraId="1AE6BE6C">
            <w:pPr>
              <w:keepNext w:val="0"/>
              <w:keepLines w:val="0"/>
              <w:pageBreakBefore w:val="0"/>
              <w:kinsoku/>
              <w:wordWrap/>
              <w:overflowPunct/>
              <w:topLinePunct w:val="0"/>
              <w:autoSpaceDE/>
              <w:autoSpaceDN/>
              <w:bidi w:val="0"/>
              <w:adjustRightInd/>
              <w:spacing w:line="240" w:lineRule="auto"/>
              <w:ind w:right="0"/>
              <w:jc w:val="center"/>
              <w:textAlignment w:val="auto"/>
              <w:rPr>
                <w:rFonts w:ascii="Times New Roman" w:hAnsi="Times New Roman"/>
                <w:color w:val="auto"/>
                <w:szCs w:val="21"/>
              </w:rPr>
            </w:pPr>
            <w:r>
              <w:rPr>
                <w:rFonts w:hint="eastAsia" w:ascii="Times New Roman" w:hAnsi="Times New Roman"/>
                <w:color w:val="auto"/>
                <w:szCs w:val="21"/>
              </w:rPr>
              <w:t>联系方式</w:t>
            </w:r>
          </w:p>
        </w:tc>
        <w:tc>
          <w:tcPr>
            <w:tcW w:w="5736" w:type="dxa"/>
            <w:gridSpan w:val="2"/>
            <w:tcBorders>
              <w:top w:val="single" w:color="auto" w:sz="4" w:space="0"/>
              <w:left w:val="single" w:color="auto" w:sz="4" w:space="0"/>
              <w:bottom w:val="single" w:color="auto" w:sz="4" w:space="0"/>
              <w:right w:val="single" w:color="auto" w:sz="4" w:space="0"/>
            </w:tcBorders>
            <w:noWrap w:val="0"/>
            <w:vAlign w:val="center"/>
          </w:tcPr>
          <w:p w14:paraId="64C35C6F">
            <w:pPr>
              <w:keepNext w:val="0"/>
              <w:keepLines w:val="0"/>
              <w:pageBreakBefore w:val="0"/>
              <w:kinsoku/>
              <w:wordWrap/>
              <w:overflowPunct/>
              <w:topLinePunct w:val="0"/>
              <w:autoSpaceDE/>
              <w:autoSpaceDN/>
              <w:bidi w:val="0"/>
              <w:adjustRightInd/>
              <w:spacing w:line="240" w:lineRule="auto"/>
              <w:ind w:right="0"/>
              <w:textAlignment w:val="auto"/>
              <w:rPr>
                <w:rFonts w:hint="eastAsia" w:ascii="宋体" w:hAnsi="宋体" w:cs="宋体"/>
                <w:color w:val="auto"/>
                <w:szCs w:val="21"/>
              </w:rPr>
            </w:pPr>
          </w:p>
        </w:tc>
      </w:tr>
    </w:tbl>
    <w:p w14:paraId="435BBC68">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2.</w:t>
      </w:r>
      <w:r>
        <w:rPr>
          <w:rFonts w:hint="eastAsia" w:ascii="仿宋" w:hAnsi="仿宋" w:eastAsia="仿宋"/>
          <w:color w:val="auto"/>
          <w:sz w:val="32"/>
          <w:szCs w:val="32"/>
        </w:rPr>
        <w:t>申办工作遵循“自愿申请、科学评估、择优选定”的原则，具体流程如下：</w:t>
      </w:r>
    </w:p>
    <w:p w14:paraId="07C87E5C">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提交申办意向函</w:t>
      </w:r>
      <w:r>
        <w:rPr>
          <w:rFonts w:hint="eastAsia" w:ascii="仿宋" w:hAnsi="仿宋" w:eastAsia="仿宋" w:cs="仿宋"/>
          <w:color w:val="auto"/>
          <w:sz w:val="32"/>
          <w:szCs w:val="32"/>
          <w:lang w:eastAsia="zh-CN"/>
        </w:rPr>
        <w:t>：</w:t>
      </w:r>
      <w:r>
        <w:rPr>
          <w:rFonts w:hint="eastAsia" w:ascii="仿宋" w:hAnsi="仿宋" w:eastAsia="仿宋"/>
          <w:color w:val="auto"/>
          <w:sz w:val="32"/>
          <w:szCs w:val="32"/>
        </w:rPr>
        <w:t>由申办城市人民政府向国家体育总局社会体育指导中心发出加盖公章的《申办意向函》，正式表达申办意愿。</w:t>
      </w:r>
    </w:p>
    <w:p w14:paraId="0751568B">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提交《四案》</w:t>
      </w:r>
      <w:r>
        <w:rPr>
          <w:rFonts w:hint="eastAsia" w:ascii="仿宋" w:hAnsi="仿宋" w:eastAsia="仿宋" w:cs="仿宋"/>
          <w:color w:val="auto"/>
          <w:sz w:val="32"/>
          <w:szCs w:val="32"/>
          <w:lang w:eastAsia="zh-CN"/>
        </w:rPr>
        <w:t>：</w:t>
      </w:r>
      <w:r>
        <w:rPr>
          <w:rFonts w:hint="eastAsia" w:ascii="仿宋" w:hAnsi="仿宋" w:eastAsia="仿宋"/>
          <w:color w:val="auto"/>
          <w:sz w:val="32"/>
          <w:szCs w:val="32"/>
        </w:rPr>
        <w:t>在运营单位指导下，办赛城市体育部门牵头，制定详尽的《赛事组织方案</w:t>
      </w:r>
      <w:r>
        <w:rPr>
          <w:rFonts w:hint="eastAsia" w:ascii="仿宋" w:hAnsi="仿宋" w:eastAsia="仿宋"/>
          <w:color w:val="auto"/>
          <w:sz w:val="32"/>
          <w:szCs w:val="32"/>
          <w:lang w:eastAsia="zh-CN"/>
        </w:rPr>
        <w:t>》《</w:t>
      </w:r>
      <w:r>
        <w:rPr>
          <w:rFonts w:hint="eastAsia" w:ascii="仿宋" w:hAnsi="仿宋" w:eastAsia="仿宋"/>
          <w:color w:val="auto"/>
          <w:sz w:val="32"/>
          <w:szCs w:val="32"/>
        </w:rPr>
        <w:t>舆情应对方案</w:t>
      </w:r>
      <w:r>
        <w:rPr>
          <w:rFonts w:hint="eastAsia" w:ascii="仿宋" w:hAnsi="仿宋" w:eastAsia="仿宋"/>
          <w:color w:val="auto"/>
          <w:sz w:val="32"/>
          <w:szCs w:val="32"/>
          <w:lang w:eastAsia="zh-CN"/>
        </w:rPr>
        <w:t>》《</w:t>
      </w:r>
      <w:r>
        <w:rPr>
          <w:rFonts w:hint="eastAsia" w:ascii="仿宋" w:hAnsi="仿宋" w:eastAsia="仿宋"/>
          <w:color w:val="auto"/>
          <w:sz w:val="32"/>
          <w:szCs w:val="32"/>
        </w:rPr>
        <w:t>安全风险评估预案</w:t>
      </w:r>
      <w:r>
        <w:rPr>
          <w:rFonts w:hint="eastAsia" w:ascii="仿宋" w:hAnsi="仿宋" w:eastAsia="仿宋"/>
          <w:color w:val="auto"/>
          <w:sz w:val="32"/>
          <w:szCs w:val="32"/>
          <w:lang w:eastAsia="zh-CN"/>
        </w:rPr>
        <w:t>》《</w:t>
      </w:r>
      <w:r>
        <w:rPr>
          <w:rFonts w:hint="eastAsia" w:ascii="仿宋" w:hAnsi="仿宋" w:eastAsia="仿宋"/>
          <w:color w:val="auto"/>
          <w:sz w:val="32"/>
          <w:szCs w:val="32"/>
        </w:rPr>
        <w:t>场地安全与灾害性天气应急处置预案》</w:t>
      </w:r>
      <w:r>
        <w:rPr>
          <w:rFonts w:hint="eastAsia" w:ascii="仿宋" w:hAnsi="仿宋" w:eastAsia="仿宋"/>
          <w:color w:val="auto"/>
          <w:sz w:val="32"/>
          <w:szCs w:val="32"/>
          <w:lang w:val="en-US" w:eastAsia="zh-CN"/>
        </w:rPr>
        <w:t>及《自愿参赛责任书》</w:t>
      </w:r>
      <w:r>
        <w:rPr>
          <w:rFonts w:hint="eastAsia" w:ascii="仿宋" w:hAnsi="仿宋" w:eastAsia="仿宋"/>
          <w:color w:val="auto"/>
          <w:sz w:val="32"/>
          <w:szCs w:val="32"/>
        </w:rPr>
        <w:t>。</w:t>
      </w:r>
    </w:p>
    <w:p w14:paraId="3B3C10AA">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初审与实地考察</w:t>
      </w:r>
      <w:r>
        <w:rPr>
          <w:rFonts w:hint="eastAsia" w:ascii="仿宋" w:hAnsi="仿宋" w:eastAsia="仿宋" w:cs="仿宋"/>
          <w:color w:val="auto"/>
          <w:sz w:val="32"/>
          <w:szCs w:val="32"/>
          <w:lang w:eastAsia="zh-CN"/>
        </w:rPr>
        <w:t>：</w:t>
      </w:r>
    </w:p>
    <w:p w14:paraId="58ED199D">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①</w:t>
      </w:r>
      <w:r>
        <w:rPr>
          <w:rFonts w:hint="eastAsia" w:ascii="仿宋" w:hAnsi="仿宋" w:eastAsia="仿宋"/>
          <w:color w:val="auto"/>
          <w:sz w:val="32"/>
          <w:szCs w:val="32"/>
        </w:rPr>
        <w:t>国家体育总局社会体育指导中心对提交的《四案》进行初步审核。</w:t>
      </w:r>
    </w:p>
    <w:p w14:paraId="7B2C6C03">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②</w:t>
      </w:r>
      <w:r>
        <w:rPr>
          <w:rFonts w:hint="eastAsia" w:ascii="仿宋" w:hAnsi="仿宋" w:eastAsia="仿宋"/>
          <w:color w:val="auto"/>
          <w:sz w:val="32"/>
          <w:szCs w:val="32"/>
        </w:rPr>
        <w:t>根据需要，选派专家组赴申办城市进行实地考察，评估其综合条件。</w:t>
      </w:r>
    </w:p>
    <w:p w14:paraId="2FA55F2C">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楷体" w:hAnsi="楷体" w:eastAsia="楷体" w:cs="楷体"/>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综合评议与竞赛规程印发</w:t>
      </w:r>
      <w:r>
        <w:rPr>
          <w:rFonts w:hint="eastAsia" w:ascii="仿宋" w:hAnsi="仿宋" w:eastAsia="仿宋" w:cs="仿宋"/>
          <w:color w:val="auto"/>
          <w:sz w:val="32"/>
          <w:szCs w:val="32"/>
          <w:lang w:eastAsia="zh-CN"/>
        </w:rPr>
        <w:t>：</w:t>
      </w:r>
      <w:r>
        <w:rPr>
          <w:rFonts w:hint="eastAsia" w:ascii="仿宋" w:hAnsi="仿宋" w:eastAsia="仿宋"/>
          <w:color w:val="auto"/>
          <w:sz w:val="32"/>
          <w:szCs w:val="32"/>
        </w:rPr>
        <w:t>国家体育总局社会体育指导中心进行综合评议，择优确定举办城市，并向全国印发竞赛规程。</w:t>
      </w:r>
    </w:p>
    <w:p w14:paraId="7A4FA8DE">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楷体" w:hAnsi="楷体" w:eastAsia="楷体" w:cs="楷体"/>
          <w:color w:val="auto"/>
          <w:sz w:val="32"/>
          <w:szCs w:val="32"/>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组织者具备的能力与资质</w:t>
      </w:r>
    </w:p>
    <w:p w14:paraId="2AD91C81">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申办</w:t>
      </w:r>
      <w:r>
        <w:rPr>
          <w:rFonts w:hint="eastAsia" w:ascii="仿宋" w:hAnsi="仿宋" w:eastAsia="仿宋"/>
          <w:color w:val="auto"/>
          <w:sz w:val="32"/>
          <w:szCs w:val="32"/>
          <w:lang w:val="en-US" w:eastAsia="zh-CN"/>
        </w:rPr>
        <w:t>单位</w:t>
      </w:r>
      <w:r>
        <w:rPr>
          <w:rFonts w:hint="eastAsia" w:ascii="仿宋" w:hAnsi="仿宋" w:eastAsia="仿宋"/>
          <w:color w:val="auto"/>
          <w:sz w:val="32"/>
          <w:szCs w:val="32"/>
        </w:rPr>
        <w:t>应</w:t>
      </w:r>
      <w:r>
        <w:rPr>
          <w:rFonts w:hint="eastAsia" w:ascii="仿宋" w:hAnsi="仿宋" w:eastAsia="仿宋"/>
          <w:color w:val="auto"/>
          <w:sz w:val="32"/>
          <w:szCs w:val="32"/>
          <w:lang w:val="en-US" w:eastAsia="zh-CN"/>
        </w:rPr>
        <w:t>为</w:t>
      </w:r>
      <w:r>
        <w:rPr>
          <w:rFonts w:hint="eastAsia" w:ascii="仿宋" w:hAnsi="仿宋" w:eastAsia="仿宋"/>
          <w:color w:val="auto"/>
          <w:sz w:val="32"/>
          <w:szCs w:val="32"/>
        </w:rPr>
        <w:t>中华人民共和国境内县级及以上城市人民政府（具体工作由体育部门负责）</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并</w:t>
      </w:r>
      <w:r>
        <w:rPr>
          <w:rFonts w:hint="eastAsia" w:ascii="仿宋" w:hAnsi="仿宋" w:eastAsia="仿宋"/>
          <w:color w:val="auto"/>
          <w:sz w:val="32"/>
          <w:szCs w:val="32"/>
        </w:rPr>
        <w:t>具备以下条件，以确保赛事能够高水平策划、高质量落地、高效益产出：</w:t>
      </w:r>
    </w:p>
    <w:p w14:paraId="34A2699E">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强烈的</w:t>
      </w:r>
      <w:r>
        <w:rPr>
          <w:rFonts w:hint="eastAsia" w:ascii="仿宋" w:hAnsi="仿宋" w:eastAsia="仿宋" w:cs="仿宋"/>
          <w:color w:val="auto"/>
          <w:sz w:val="32"/>
          <w:szCs w:val="32"/>
          <w:lang w:val="en-US" w:eastAsia="zh-CN"/>
        </w:rPr>
        <w:t>办赛</w:t>
      </w:r>
      <w:r>
        <w:rPr>
          <w:rFonts w:hint="eastAsia" w:ascii="仿宋" w:hAnsi="仿宋" w:eastAsia="仿宋" w:cs="仿宋"/>
          <w:color w:val="auto"/>
          <w:sz w:val="32"/>
          <w:szCs w:val="32"/>
        </w:rPr>
        <w:t>意愿与战略重视</w:t>
      </w:r>
      <w:r>
        <w:rPr>
          <w:rFonts w:hint="eastAsia" w:ascii="仿宋" w:hAnsi="仿宋" w:eastAsia="仿宋" w:cs="仿宋"/>
          <w:color w:val="auto"/>
          <w:sz w:val="32"/>
          <w:szCs w:val="32"/>
          <w:lang w:eastAsia="zh-CN"/>
        </w:rPr>
        <w:t>：</w:t>
      </w:r>
      <w:r>
        <w:rPr>
          <w:rFonts w:hint="eastAsia" w:ascii="仿宋" w:hAnsi="仿宋" w:eastAsia="仿宋"/>
          <w:color w:val="auto"/>
          <w:sz w:val="32"/>
          <w:szCs w:val="32"/>
        </w:rPr>
        <w:t>城市主政官及领导班子高度重视，将赛事活动视为提升城市品牌、拉动内需、促进发展的重要契机，并承诺持续举办并提供全方位的政策、资金与资源支持。</w:t>
      </w:r>
    </w:p>
    <w:p w14:paraId="1655F5F5">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鲜明的城市特色与产业优势</w:t>
      </w:r>
      <w:r>
        <w:rPr>
          <w:rFonts w:hint="eastAsia" w:ascii="仿宋" w:hAnsi="仿宋" w:eastAsia="仿宋" w:cs="仿宋"/>
          <w:color w:val="auto"/>
          <w:sz w:val="32"/>
          <w:szCs w:val="32"/>
          <w:lang w:eastAsia="zh-CN"/>
        </w:rPr>
        <w:t>：</w:t>
      </w:r>
      <w:r>
        <w:rPr>
          <w:rFonts w:hint="eastAsia" w:ascii="仿宋" w:hAnsi="仿宋" w:eastAsia="仿宋"/>
          <w:color w:val="auto"/>
          <w:sz w:val="32"/>
          <w:szCs w:val="32"/>
        </w:rPr>
        <w:t>全民健身氛围浓厚，在美食、文化、旅游、商业、制造、数字经济等某一或多个领域拥有独特优势。</w:t>
      </w:r>
    </w:p>
    <w:p w14:paraId="55357EE7">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出色的组织与保障能力</w:t>
      </w:r>
      <w:r>
        <w:rPr>
          <w:rFonts w:hint="eastAsia" w:ascii="仿宋" w:hAnsi="仿宋" w:eastAsia="仿宋" w:cs="仿宋"/>
          <w:color w:val="auto"/>
          <w:sz w:val="32"/>
          <w:szCs w:val="32"/>
          <w:lang w:eastAsia="zh-CN"/>
        </w:rPr>
        <w:t>：</w:t>
      </w:r>
    </w:p>
    <w:p w14:paraId="2479AA6D">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1</w:t>
      </w:r>
      <w:r>
        <w:rPr>
          <w:rFonts w:hint="eastAsia" w:ascii="仿宋" w:hAnsi="仿宋" w:eastAsia="仿宋"/>
          <w:color w:val="auto"/>
          <w:sz w:val="32"/>
          <w:szCs w:val="32"/>
          <w:lang w:eastAsia="zh-CN"/>
        </w:rPr>
        <w:t>）</w:t>
      </w:r>
      <w:r>
        <w:rPr>
          <w:rFonts w:hint="eastAsia" w:ascii="仿宋" w:hAnsi="仿宋" w:eastAsia="仿宋"/>
          <w:color w:val="auto"/>
          <w:sz w:val="32"/>
          <w:szCs w:val="32"/>
        </w:rPr>
        <w:t>具备承办大型体育赛事、节庆或文旅活动的丰富经验。</w:t>
      </w:r>
    </w:p>
    <w:p w14:paraId="0733E808">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2</w:t>
      </w:r>
      <w:r>
        <w:rPr>
          <w:rFonts w:hint="eastAsia" w:ascii="仿宋" w:hAnsi="仿宋" w:eastAsia="仿宋"/>
          <w:color w:val="auto"/>
          <w:sz w:val="32"/>
          <w:szCs w:val="32"/>
          <w:lang w:eastAsia="zh-CN"/>
        </w:rPr>
        <w:t>）</w:t>
      </w:r>
      <w:r>
        <w:rPr>
          <w:rFonts w:hint="eastAsia" w:ascii="仿宋" w:hAnsi="仿宋" w:eastAsia="仿宋"/>
          <w:color w:val="auto"/>
          <w:sz w:val="32"/>
          <w:szCs w:val="32"/>
        </w:rPr>
        <w:t>拥有高效的组织协调团队，能够有效联动政府各部门、商圈、企业及媒体。</w:t>
      </w:r>
    </w:p>
    <w:p w14:paraId="399C8643">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3</w:t>
      </w:r>
      <w:r>
        <w:rPr>
          <w:rFonts w:hint="eastAsia" w:ascii="仿宋" w:hAnsi="仿宋" w:eastAsia="仿宋"/>
          <w:color w:val="auto"/>
          <w:sz w:val="32"/>
          <w:szCs w:val="32"/>
          <w:lang w:eastAsia="zh-CN"/>
        </w:rPr>
        <w:t>）</w:t>
      </w:r>
      <w:r>
        <w:rPr>
          <w:rFonts w:hint="eastAsia" w:ascii="仿宋" w:hAnsi="仿宋" w:eastAsia="仿宋"/>
          <w:color w:val="auto"/>
          <w:sz w:val="32"/>
          <w:szCs w:val="32"/>
        </w:rPr>
        <w:t>能为赛事活动提供必要的场地、安保、交通、卫生</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通讯</w:t>
      </w:r>
      <w:r>
        <w:rPr>
          <w:rFonts w:hint="eastAsia" w:ascii="仿宋" w:hAnsi="仿宋" w:eastAsia="仿宋"/>
          <w:color w:val="auto"/>
          <w:sz w:val="32"/>
          <w:szCs w:val="32"/>
        </w:rPr>
        <w:t>等后勤保障。</w:t>
      </w:r>
    </w:p>
    <w:p w14:paraId="4E5E7F43">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组织机构和人员</w:t>
      </w:r>
    </w:p>
    <w:p w14:paraId="400E3241">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仿宋" w:hAnsi="仿宋" w:eastAsia="仿宋"/>
          <w:color w:val="auto"/>
          <w:sz w:val="32"/>
          <w:szCs w:val="32"/>
        </w:rPr>
        <w:t>承办单位从申办比赛成功开始，</w:t>
      </w:r>
      <w:r>
        <w:rPr>
          <w:rFonts w:hint="eastAsia" w:ascii="仿宋" w:hAnsi="仿宋" w:eastAsia="仿宋" w:cs="仿宋"/>
          <w:color w:val="auto"/>
          <w:sz w:val="32"/>
          <w:szCs w:val="32"/>
          <w:lang w:val="en-US" w:eastAsia="zh-CN"/>
        </w:rPr>
        <w:t>成立赛事组织委员会（组委会），统筹协调组织、医疗、安保、交通、救援、宣传、通讯、志愿者、裁判员、卫生清洁、场地使用等相关工作。</w:t>
      </w:r>
    </w:p>
    <w:p w14:paraId="420840E8">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1.根据所举办比赛的性质和级别，组织委员会由社体中心、委员会、地方政府、承办单位、协办单位等有关单位人员组成。</w:t>
      </w:r>
    </w:p>
    <w:p w14:paraId="50FEB287">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2.承办单位应组建赛事筹备、组织和服务人员队伍，提供人员名单，由社体中心或委员会复核。</w:t>
      </w:r>
    </w:p>
    <w:p w14:paraId="461477DA">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3.组委会领导机构一般可设以下职位：名誉主任、主任、执行主任（常务副主任）、副主任、秘书长、常务副秘书长、副秘书长、委员等。</w:t>
      </w:r>
    </w:p>
    <w:p w14:paraId="0696432D">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4.组委会可根据工作需要设置执行机构，一般可包括：综合协调</w:t>
      </w:r>
      <w:r>
        <w:rPr>
          <w:rFonts w:hint="eastAsia" w:ascii="仿宋" w:hAnsi="仿宋" w:eastAsia="仿宋"/>
          <w:color w:val="auto"/>
          <w:sz w:val="32"/>
          <w:szCs w:val="32"/>
          <w:lang w:val="en-US" w:eastAsia="zh-CN"/>
        </w:rPr>
        <w:t>组</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后勤接待组</w:t>
      </w:r>
      <w:r>
        <w:rPr>
          <w:rFonts w:hint="eastAsia" w:ascii="仿宋" w:hAnsi="仿宋" w:eastAsia="仿宋"/>
          <w:color w:val="auto"/>
          <w:sz w:val="32"/>
          <w:szCs w:val="32"/>
        </w:rPr>
        <w:t>、宣传和氛围营造组、安全保卫组、赛事组织组等。（注：具体机构设置由承办单位根据办赛能力和办赛需求酌情处理）</w:t>
      </w:r>
    </w:p>
    <w:p w14:paraId="35F3DB1C">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（1）综合协调</w:t>
      </w:r>
      <w:r>
        <w:rPr>
          <w:rFonts w:hint="eastAsia" w:ascii="仿宋" w:hAnsi="仿宋" w:eastAsia="仿宋"/>
          <w:color w:val="auto"/>
          <w:sz w:val="32"/>
          <w:szCs w:val="32"/>
          <w:lang w:val="en-US" w:eastAsia="zh-CN"/>
        </w:rPr>
        <w:t>组</w:t>
      </w:r>
      <w:r>
        <w:rPr>
          <w:rFonts w:hint="eastAsia" w:ascii="仿宋" w:hAnsi="仿宋" w:eastAsia="仿宋"/>
          <w:color w:val="auto"/>
          <w:sz w:val="32"/>
          <w:szCs w:val="32"/>
        </w:rPr>
        <w:t>职责</w:t>
      </w:r>
    </w:p>
    <w:p w14:paraId="71E5E465">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召开赛事协调会</w:t>
      </w:r>
      <w:r>
        <w:rPr>
          <w:rFonts w:hint="eastAsia" w:ascii="仿宋" w:hAnsi="仿宋" w:eastAsia="仿宋"/>
          <w:color w:val="auto"/>
          <w:sz w:val="32"/>
          <w:szCs w:val="32"/>
          <w:lang w:eastAsia="zh-CN"/>
        </w:rPr>
        <w:t>；</w:t>
      </w:r>
      <w:r>
        <w:rPr>
          <w:rFonts w:hint="eastAsia" w:ascii="仿宋" w:hAnsi="仿宋" w:eastAsia="仿宋"/>
          <w:color w:val="auto"/>
          <w:sz w:val="32"/>
          <w:szCs w:val="32"/>
        </w:rPr>
        <w:t>综合协调指挥各部门工作，对各项工作开展情况进行督查，跟进和督促各工作组按照执行方案抓好落实</w:t>
      </w:r>
      <w:r>
        <w:rPr>
          <w:rFonts w:hint="eastAsia" w:ascii="仿宋" w:hAnsi="仿宋" w:eastAsia="仿宋"/>
          <w:color w:val="auto"/>
          <w:sz w:val="32"/>
          <w:szCs w:val="32"/>
          <w:lang w:eastAsia="zh-CN"/>
        </w:rPr>
        <w:t>；</w:t>
      </w:r>
      <w:r>
        <w:rPr>
          <w:rFonts w:hint="eastAsia" w:ascii="仿宋" w:hAnsi="仿宋" w:eastAsia="仿宋"/>
          <w:color w:val="auto"/>
          <w:sz w:val="32"/>
          <w:szCs w:val="32"/>
        </w:rPr>
        <w:t>负责牵头协调和统筹指挥比赛道路交通管制、秩序维持以及赛事所需安保、竞赛、通讯、医疗等保障工作</w:t>
      </w:r>
      <w:r>
        <w:rPr>
          <w:rFonts w:hint="eastAsia" w:ascii="仿宋" w:hAnsi="仿宋" w:eastAsia="仿宋"/>
          <w:color w:val="auto"/>
          <w:sz w:val="32"/>
          <w:szCs w:val="32"/>
          <w:lang w:eastAsia="zh-CN"/>
        </w:rPr>
        <w:t>；</w:t>
      </w:r>
      <w:r>
        <w:rPr>
          <w:rFonts w:hint="eastAsia" w:ascii="仿宋" w:hAnsi="仿宋" w:eastAsia="仿宋"/>
          <w:color w:val="auto"/>
          <w:sz w:val="32"/>
          <w:szCs w:val="32"/>
        </w:rPr>
        <w:t>负责协调政府（社会）公共资源调配和经费保障</w:t>
      </w:r>
      <w:r>
        <w:rPr>
          <w:rFonts w:hint="eastAsia" w:ascii="仿宋" w:hAnsi="仿宋" w:eastAsia="仿宋"/>
          <w:color w:val="auto"/>
          <w:sz w:val="32"/>
          <w:szCs w:val="32"/>
          <w:lang w:eastAsia="zh-CN"/>
        </w:rPr>
        <w:t>；</w:t>
      </w:r>
      <w:r>
        <w:rPr>
          <w:rFonts w:hint="eastAsia" w:ascii="仿宋" w:hAnsi="仿宋" w:eastAsia="仿宋"/>
          <w:color w:val="auto"/>
          <w:sz w:val="32"/>
          <w:szCs w:val="32"/>
        </w:rPr>
        <w:t>负责</w:t>
      </w:r>
      <w:r>
        <w:rPr>
          <w:rFonts w:hint="eastAsia" w:ascii="仿宋" w:hAnsi="仿宋" w:eastAsia="仿宋"/>
          <w:color w:val="auto"/>
          <w:sz w:val="32"/>
          <w:szCs w:val="32"/>
          <w:lang w:eastAsia="zh-CN"/>
        </w:rPr>
        <w:t>拟订</w:t>
      </w:r>
      <w:r>
        <w:rPr>
          <w:rFonts w:hint="eastAsia" w:ascii="仿宋" w:hAnsi="仿宋" w:eastAsia="仿宋"/>
          <w:color w:val="auto"/>
          <w:sz w:val="32"/>
          <w:szCs w:val="32"/>
        </w:rPr>
        <w:t>开幕式、颁奖仪式方案和主持词等</w:t>
      </w:r>
      <w:r>
        <w:rPr>
          <w:rFonts w:hint="eastAsia" w:ascii="仿宋" w:hAnsi="仿宋" w:eastAsia="仿宋"/>
          <w:color w:val="auto"/>
          <w:sz w:val="32"/>
          <w:szCs w:val="32"/>
          <w:lang w:eastAsia="zh-CN"/>
        </w:rPr>
        <w:t>；</w:t>
      </w:r>
      <w:r>
        <w:rPr>
          <w:rFonts w:hint="eastAsia" w:ascii="仿宋" w:hAnsi="仿宋" w:eastAsia="仿宋"/>
          <w:color w:val="auto"/>
          <w:sz w:val="32"/>
          <w:szCs w:val="32"/>
        </w:rPr>
        <w:t>负责协调电力、通信等保障工作</w:t>
      </w:r>
      <w:r>
        <w:rPr>
          <w:rFonts w:hint="eastAsia" w:ascii="仿宋" w:hAnsi="仿宋" w:eastAsia="仿宋"/>
          <w:color w:val="auto"/>
          <w:sz w:val="32"/>
          <w:szCs w:val="32"/>
          <w:lang w:eastAsia="zh-CN"/>
        </w:rPr>
        <w:t>；</w:t>
      </w:r>
      <w:r>
        <w:rPr>
          <w:rFonts w:hint="eastAsia" w:ascii="仿宋" w:hAnsi="仿宋" w:eastAsia="仿宋"/>
          <w:color w:val="auto"/>
          <w:sz w:val="32"/>
          <w:szCs w:val="32"/>
        </w:rPr>
        <w:t>负责赛事医疗救护工作；制定医疗卫生方案及应急措施</w:t>
      </w:r>
      <w:r>
        <w:rPr>
          <w:rFonts w:hint="eastAsia" w:ascii="仿宋" w:hAnsi="仿宋" w:eastAsia="仿宋"/>
          <w:color w:val="auto"/>
          <w:sz w:val="32"/>
          <w:szCs w:val="32"/>
          <w:lang w:eastAsia="zh-CN"/>
        </w:rPr>
        <w:t>；</w:t>
      </w:r>
      <w:r>
        <w:rPr>
          <w:rFonts w:hint="eastAsia" w:ascii="仿宋" w:hAnsi="仿宋" w:eastAsia="仿宋"/>
          <w:color w:val="auto"/>
          <w:sz w:val="32"/>
          <w:szCs w:val="32"/>
        </w:rPr>
        <w:t>负责落实相关医疗救护人员到位，设立医疗救护指挥中心，在比赛现场设置医疗点，每个点位配备医生1名、护士2名、救护车等急救物资；负责比赛过程中参赛选手身体不适的应急处理；负责赛前医务人员和志愿者急救知识的培训工作</w:t>
      </w:r>
      <w:r>
        <w:rPr>
          <w:rFonts w:hint="eastAsia" w:ascii="仿宋" w:hAnsi="仿宋" w:eastAsia="仿宋"/>
          <w:color w:val="auto"/>
          <w:sz w:val="32"/>
          <w:szCs w:val="32"/>
          <w:lang w:eastAsia="zh-CN"/>
        </w:rPr>
        <w:t>；</w:t>
      </w:r>
      <w:r>
        <w:rPr>
          <w:rFonts w:hint="eastAsia" w:ascii="仿宋" w:hAnsi="仿宋" w:eastAsia="仿宋"/>
          <w:color w:val="auto"/>
          <w:sz w:val="32"/>
          <w:szCs w:val="32"/>
        </w:rPr>
        <w:t>负责安排相应的赛事定点医院，确保在比赛期间医务人员、抢救设施设备均能及时保障医疗救护需求</w:t>
      </w:r>
      <w:r>
        <w:rPr>
          <w:rFonts w:hint="eastAsia" w:ascii="仿宋" w:hAnsi="仿宋" w:eastAsia="仿宋"/>
          <w:color w:val="auto"/>
          <w:sz w:val="32"/>
          <w:szCs w:val="32"/>
          <w:lang w:eastAsia="zh-CN"/>
        </w:rPr>
        <w:t>；</w:t>
      </w:r>
      <w:r>
        <w:rPr>
          <w:rFonts w:hint="eastAsia" w:ascii="仿宋" w:hAnsi="仿宋" w:eastAsia="仿宋"/>
          <w:color w:val="auto"/>
          <w:sz w:val="32"/>
          <w:szCs w:val="32"/>
        </w:rPr>
        <w:t>负责其他相关工作。</w:t>
      </w:r>
    </w:p>
    <w:p w14:paraId="19E055A3">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rPr>
        <w:t>（2）</w:t>
      </w:r>
      <w:r>
        <w:rPr>
          <w:rFonts w:hint="eastAsia" w:ascii="仿宋" w:hAnsi="仿宋" w:eastAsia="仿宋"/>
          <w:color w:val="auto"/>
          <w:sz w:val="32"/>
          <w:szCs w:val="32"/>
          <w:lang w:val="en-US" w:eastAsia="zh-CN"/>
        </w:rPr>
        <w:t>后勤接待组</w:t>
      </w:r>
    </w:p>
    <w:p w14:paraId="4F970D13">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负责制定并落实国家体育总局、省体育局及上级领导和嘉宾的接待工作方案</w:t>
      </w:r>
      <w:r>
        <w:rPr>
          <w:rFonts w:hint="eastAsia" w:ascii="仿宋" w:hAnsi="仿宋" w:eastAsia="仿宋"/>
          <w:color w:val="auto"/>
          <w:sz w:val="32"/>
          <w:szCs w:val="32"/>
          <w:lang w:eastAsia="zh-CN"/>
        </w:rPr>
        <w:t>；</w:t>
      </w:r>
      <w:r>
        <w:rPr>
          <w:rFonts w:hint="eastAsia" w:ascii="仿宋" w:hAnsi="仿宋" w:eastAsia="仿宋"/>
          <w:color w:val="auto"/>
          <w:sz w:val="32"/>
          <w:szCs w:val="32"/>
        </w:rPr>
        <w:t>协调安排</w:t>
      </w:r>
      <w:r>
        <w:rPr>
          <w:rFonts w:hint="eastAsia" w:ascii="仿宋" w:hAnsi="仿宋" w:eastAsia="仿宋"/>
          <w:color w:val="auto"/>
          <w:sz w:val="32"/>
          <w:szCs w:val="32"/>
          <w:lang w:val="en-US" w:eastAsia="zh-CN"/>
        </w:rPr>
        <w:t>办赛地</w:t>
      </w:r>
      <w:r>
        <w:rPr>
          <w:rFonts w:hint="eastAsia" w:ascii="仿宋" w:hAnsi="仿宋" w:eastAsia="仿宋"/>
          <w:color w:val="auto"/>
          <w:sz w:val="32"/>
          <w:szCs w:val="32"/>
        </w:rPr>
        <w:t>宾馆酒店和餐馆，做好外地参赛运动员的接待保障工作，提供良好食宿环境</w:t>
      </w:r>
      <w:r>
        <w:rPr>
          <w:rFonts w:hint="eastAsia" w:ascii="仿宋" w:hAnsi="仿宋" w:eastAsia="仿宋"/>
          <w:color w:val="auto"/>
          <w:sz w:val="32"/>
          <w:szCs w:val="32"/>
          <w:lang w:eastAsia="zh-CN"/>
        </w:rPr>
        <w:t>；</w:t>
      </w:r>
      <w:r>
        <w:rPr>
          <w:rFonts w:hint="eastAsia" w:ascii="仿宋" w:hAnsi="仿宋" w:eastAsia="仿宋"/>
          <w:color w:val="auto"/>
          <w:sz w:val="32"/>
          <w:szCs w:val="32"/>
        </w:rPr>
        <w:t>协调安排</w:t>
      </w:r>
      <w:r>
        <w:rPr>
          <w:rFonts w:hint="eastAsia" w:ascii="仿宋" w:hAnsi="仿宋" w:eastAsia="仿宋"/>
          <w:color w:val="auto"/>
          <w:sz w:val="32"/>
          <w:szCs w:val="32"/>
          <w:lang w:eastAsia="zh-CN"/>
        </w:rPr>
        <w:t>办赛地</w:t>
      </w:r>
      <w:r>
        <w:rPr>
          <w:rFonts w:hint="eastAsia" w:ascii="仿宋" w:hAnsi="仿宋" w:eastAsia="仿宋"/>
          <w:color w:val="auto"/>
          <w:sz w:val="32"/>
          <w:szCs w:val="32"/>
        </w:rPr>
        <w:t>公务车辆、公交汽车，做好大赛领导嘉宾、裁判员、运动员、工作人员的接送工作</w:t>
      </w:r>
      <w:r>
        <w:rPr>
          <w:rFonts w:hint="eastAsia" w:ascii="仿宋" w:hAnsi="仿宋" w:eastAsia="仿宋"/>
          <w:color w:val="auto"/>
          <w:sz w:val="32"/>
          <w:szCs w:val="32"/>
          <w:lang w:eastAsia="zh-CN"/>
        </w:rPr>
        <w:t>；</w:t>
      </w:r>
      <w:r>
        <w:rPr>
          <w:rFonts w:hint="eastAsia" w:ascii="仿宋" w:hAnsi="仿宋" w:eastAsia="仿宋"/>
          <w:color w:val="auto"/>
          <w:sz w:val="32"/>
          <w:szCs w:val="32"/>
        </w:rPr>
        <w:t>负责比赛期间食品、药品安全监督工作</w:t>
      </w:r>
      <w:r>
        <w:rPr>
          <w:rFonts w:hint="eastAsia" w:ascii="仿宋" w:hAnsi="仿宋" w:eastAsia="仿宋"/>
          <w:color w:val="auto"/>
          <w:sz w:val="32"/>
          <w:szCs w:val="32"/>
          <w:lang w:eastAsia="zh-CN"/>
        </w:rPr>
        <w:t>；</w:t>
      </w:r>
      <w:r>
        <w:rPr>
          <w:rFonts w:hint="eastAsia" w:ascii="仿宋" w:hAnsi="仿宋" w:eastAsia="仿宋"/>
          <w:color w:val="auto"/>
          <w:sz w:val="32"/>
          <w:szCs w:val="32"/>
        </w:rPr>
        <w:t>负责其他相关工作。</w:t>
      </w:r>
    </w:p>
    <w:p w14:paraId="0EA17CB1">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（3）宣传和氛围营造</w:t>
      </w:r>
    </w:p>
    <w:p w14:paraId="6DA11901">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负责整个赛事宣传工作，起草、实施新闻宣传工作方案及网站建设，赛前宣传氛围营造，比赛各个节点宣传及现场氛围营造，编排组织开幕式暖场节目演出</w:t>
      </w:r>
      <w:r>
        <w:rPr>
          <w:rFonts w:hint="eastAsia" w:ascii="仿宋" w:hAnsi="仿宋" w:eastAsia="仿宋"/>
          <w:color w:val="auto"/>
          <w:sz w:val="32"/>
          <w:szCs w:val="32"/>
          <w:lang w:eastAsia="zh-CN"/>
        </w:rPr>
        <w:t>；</w:t>
      </w:r>
      <w:r>
        <w:rPr>
          <w:rFonts w:hint="eastAsia" w:ascii="仿宋" w:hAnsi="仿宋" w:eastAsia="仿宋"/>
          <w:color w:val="auto"/>
          <w:sz w:val="32"/>
          <w:szCs w:val="32"/>
        </w:rPr>
        <w:t>召开新闻发布会，负责邀请各级媒体到会报道；协调新闻通稿起草及审查把关；做好大会照片、录像、报纸等资料的收集；负责落实赛事各类突发事件新闻稿预案</w:t>
      </w:r>
      <w:r>
        <w:rPr>
          <w:rFonts w:hint="eastAsia" w:ascii="仿宋" w:hAnsi="仿宋" w:eastAsia="仿宋"/>
          <w:color w:val="auto"/>
          <w:sz w:val="32"/>
          <w:szCs w:val="32"/>
          <w:lang w:eastAsia="zh-CN"/>
        </w:rPr>
        <w:t>；</w:t>
      </w:r>
      <w:r>
        <w:rPr>
          <w:rFonts w:hint="eastAsia" w:ascii="仿宋" w:hAnsi="仿宋" w:eastAsia="仿宋"/>
          <w:color w:val="auto"/>
          <w:sz w:val="32"/>
          <w:szCs w:val="32"/>
        </w:rPr>
        <w:t>提前转发交通管制信息</w:t>
      </w:r>
      <w:r>
        <w:rPr>
          <w:rFonts w:hint="eastAsia" w:ascii="仿宋" w:hAnsi="仿宋" w:eastAsia="仿宋"/>
          <w:color w:val="auto"/>
          <w:sz w:val="32"/>
          <w:szCs w:val="32"/>
          <w:lang w:eastAsia="zh-CN"/>
        </w:rPr>
        <w:t>；</w:t>
      </w:r>
      <w:r>
        <w:rPr>
          <w:rFonts w:hint="eastAsia" w:ascii="仿宋" w:hAnsi="仿宋" w:eastAsia="仿宋"/>
          <w:color w:val="auto"/>
          <w:sz w:val="32"/>
          <w:szCs w:val="32"/>
        </w:rPr>
        <w:t>负责向上级领导、嘉宾、各级媒体及外地参赛选手提供</w:t>
      </w:r>
      <w:r>
        <w:rPr>
          <w:rFonts w:hint="eastAsia" w:ascii="仿宋" w:hAnsi="仿宋" w:eastAsia="仿宋"/>
          <w:color w:val="auto"/>
          <w:sz w:val="32"/>
          <w:szCs w:val="32"/>
          <w:lang w:val="en-US" w:eastAsia="zh-CN"/>
        </w:rPr>
        <w:t>办赛地</w:t>
      </w:r>
      <w:r>
        <w:rPr>
          <w:rFonts w:hint="eastAsia" w:ascii="仿宋" w:hAnsi="仿宋" w:eastAsia="仿宋"/>
          <w:color w:val="auto"/>
          <w:sz w:val="32"/>
          <w:szCs w:val="32"/>
        </w:rPr>
        <w:t>宣传资料；负责记者工作证的发放工作</w:t>
      </w:r>
      <w:r>
        <w:rPr>
          <w:rFonts w:hint="eastAsia" w:ascii="仿宋" w:hAnsi="仿宋" w:eastAsia="仿宋"/>
          <w:color w:val="auto"/>
          <w:sz w:val="32"/>
          <w:szCs w:val="32"/>
          <w:lang w:eastAsia="zh-CN"/>
        </w:rPr>
        <w:t>；</w:t>
      </w:r>
      <w:r>
        <w:rPr>
          <w:rFonts w:hint="eastAsia" w:ascii="仿宋" w:hAnsi="仿宋" w:eastAsia="仿宋"/>
          <w:color w:val="auto"/>
          <w:sz w:val="32"/>
          <w:szCs w:val="32"/>
        </w:rPr>
        <w:t>负责其他相关工作。</w:t>
      </w:r>
    </w:p>
    <w:p w14:paraId="758A5406">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（4）安全保卫组</w:t>
      </w:r>
    </w:p>
    <w:p w14:paraId="4BB37B71">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制定环境整治方案，负责赛场建设和维护、沿途绿化美化、立面整治及环境卫生整治等工作</w:t>
      </w:r>
      <w:r>
        <w:rPr>
          <w:rFonts w:hint="eastAsia" w:ascii="仿宋" w:hAnsi="仿宋" w:eastAsia="仿宋"/>
          <w:color w:val="auto"/>
          <w:sz w:val="32"/>
          <w:szCs w:val="32"/>
          <w:lang w:eastAsia="zh-CN"/>
        </w:rPr>
        <w:t>；</w:t>
      </w:r>
      <w:r>
        <w:rPr>
          <w:rFonts w:hint="eastAsia" w:ascii="仿宋" w:hAnsi="仿宋" w:eastAsia="仿宋"/>
          <w:color w:val="auto"/>
          <w:sz w:val="32"/>
          <w:szCs w:val="32"/>
        </w:rPr>
        <w:t>负责比赛期间信访维稳工作，安排</w:t>
      </w:r>
      <w:r>
        <w:rPr>
          <w:rFonts w:hint="eastAsia" w:ascii="仿宋" w:hAnsi="仿宋" w:eastAsia="仿宋"/>
          <w:color w:val="auto"/>
          <w:sz w:val="32"/>
          <w:szCs w:val="32"/>
          <w:lang w:val="en-US" w:eastAsia="zh-CN"/>
        </w:rPr>
        <w:t>办赛地</w:t>
      </w:r>
      <w:r>
        <w:rPr>
          <w:rFonts w:hint="eastAsia" w:ascii="仿宋" w:hAnsi="仿宋" w:eastAsia="仿宋"/>
          <w:color w:val="auto"/>
          <w:sz w:val="32"/>
          <w:szCs w:val="32"/>
        </w:rPr>
        <w:t>各部门、各街道做好矛盾纠纷排查化解、稳控各类信访重点人员等工作</w:t>
      </w:r>
      <w:r>
        <w:rPr>
          <w:rFonts w:hint="eastAsia" w:ascii="仿宋" w:hAnsi="仿宋" w:eastAsia="仿宋"/>
          <w:color w:val="auto"/>
          <w:sz w:val="32"/>
          <w:szCs w:val="32"/>
          <w:lang w:eastAsia="zh-CN"/>
        </w:rPr>
        <w:t>；</w:t>
      </w:r>
      <w:r>
        <w:rPr>
          <w:rFonts w:hint="eastAsia" w:ascii="仿宋" w:hAnsi="仿宋" w:eastAsia="仿宋"/>
          <w:color w:val="auto"/>
          <w:sz w:val="32"/>
          <w:szCs w:val="32"/>
        </w:rPr>
        <w:t>负责制定并实施反恐、维稳风险评估、安全保卫工作方案（包括应急预案）</w:t>
      </w:r>
      <w:r>
        <w:rPr>
          <w:rFonts w:hint="eastAsia" w:ascii="仿宋" w:hAnsi="仿宋" w:eastAsia="仿宋"/>
          <w:color w:val="auto"/>
          <w:sz w:val="32"/>
          <w:szCs w:val="32"/>
          <w:lang w:eastAsia="zh-CN"/>
        </w:rPr>
        <w:t>；</w:t>
      </w:r>
      <w:r>
        <w:rPr>
          <w:rFonts w:hint="eastAsia" w:ascii="仿宋" w:hAnsi="仿宋" w:eastAsia="仿宋"/>
          <w:color w:val="auto"/>
          <w:sz w:val="32"/>
          <w:szCs w:val="32"/>
        </w:rPr>
        <w:t>负责比赛、颁奖仪式现场、参赛队员、来宾安全保卫工作，落实安全保卫力量的部署</w:t>
      </w:r>
      <w:r>
        <w:rPr>
          <w:rFonts w:hint="eastAsia" w:ascii="仿宋" w:hAnsi="仿宋" w:eastAsia="仿宋"/>
          <w:color w:val="auto"/>
          <w:sz w:val="32"/>
          <w:szCs w:val="32"/>
          <w:lang w:eastAsia="zh-CN"/>
        </w:rPr>
        <w:t>；</w:t>
      </w:r>
      <w:r>
        <w:rPr>
          <w:rFonts w:hint="eastAsia" w:ascii="仿宋" w:hAnsi="仿宋" w:eastAsia="仿宋"/>
          <w:color w:val="auto"/>
          <w:sz w:val="32"/>
          <w:szCs w:val="32"/>
        </w:rPr>
        <w:t>负责具体制定并执行比赛路段交通管制和疏导方案，包括工作车辆的停放指挥</w:t>
      </w:r>
      <w:r>
        <w:rPr>
          <w:rFonts w:hint="eastAsia" w:ascii="仿宋" w:hAnsi="仿宋" w:eastAsia="仿宋"/>
          <w:color w:val="auto"/>
          <w:sz w:val="32"/>
          <w:szCs w:val="32"/>
          <w:lang w:eastAsia="zh-CN"/>
        </w:rPr>
        <w:t>；</w:t>
      </w:r>
      <w:r>
        <w:rPr>
          <w:rFonts w:hint="eastAsia" w:ascii="仿宋" w:hAnsi="仿宋" w:eastAsia="仿宋"/>
          <w:color w:val="auto"/>
          <w:sz w:val="32"/>
          <w:szCs w:val="32"/>
        </w:rPr>
        <w:t>负责比赛场地各种临建设施的安全检查，督促隐患的整改</w:t>
      </w:r>
      <w:r>
        <w:rPr>
          <w:rFonts w:hint="eastAsia" w:ascii="仿宋" w:hAnsi="仿宋" w:eastAsia="仿宋"/>
          <w:color w:val="auto"/>
          <w:sz w:val="32"/>
          <w:szCs w:val="32"/>
          <w:lang w:eastAsia="zh-CN"/>
        </w:rPr>
        <w:t>；</w:t>
      </w:r>
      <w:r>
        <w:rPr>
          <w:rFonts w:hint="eastAsia" w:ascii="仿宋" w:hAnsi="仿宋" w:eastAsia="仿宋"/>
          <w:color w:val="auto"/>
          <w:sz w:val="32"/>
          <w:szCs w:val="32"/>
        </w:rPr>
        <w:t>负责其他相关工作。</w:t>
      </w:r>
    </w:p>
    <w:p w14:paraId="0313F618">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rPr>
        <w:t>（5）</w:t>
      </w:r>
      <w:r>
        <w:rPr>
          <w:rFonts w:hint="eastAsia" w:ascii="仿宋" w:hAnsi="仿宋" w:eastAsia="仿宋"/>
          <w:color w:val="auto"/>
          <w:sz w:val="32"/>
          <w:szCs w:val="32"/>
          <w:lang w:val="en-US" w:eastAsia="zh-CN"/>
        </w:rPr>
        <w:t>赛事组织组</w:t>
      </w:r>
    </w:p>
    <w:p w14:paraId="7CB4EA4B">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国家体育总局社会体育指导中心通过</w:t>
      </w:r>
      <w:r>
        <w:rPr>
          <w:rFonts w:hint="eastAsia" w:ascii="仿宋" w:hAnsi="仿宋" w:eastAsia="仿宋"/>
          <w:color w:val="auto"/>
          <w:sz w:val="32"/>
          <w:szCs w:val="32"/>
          <w:lang w:val="en-US" w:eastAsia="zh-CN"/>
        </w:rPr>
        <w:t>官网</w:t>
      </w:r>
      <w:r>
        <w:rPr>
          <w:rFonts w:hint="eastAsia" w:ascii="仿宋" w:hAnsi="仿宋" w:eastAsia="仿宋"/>
          <w:color w:val="auto"/>
          <w:sz w:val="32"/>
          <w:szCs w:val="32"/>
        </w:rPr>
        <w:t>发</w:t>
      </w:r>
      <w:r>
        <w:rPr>
          <w:rFonts w:hint="eastAsia" w:ascii="仿宋" w:hAnsi="仿宋" w:eastAsia="仿宋"/>
          <w:color w:val="auto"/>
          <w:sz w:val="32"/>
          <w:szCs w:val="32"/>
          <w:lang w:val="en-US" w:eastAsia="zh-CN"/>
        </w:rPr>
        <w:t>布</w:t>
      </w:r>
      <w:r>
        <w:rPr>
          <w:rFonts w:hint="eastAsia" w:ascii="仿宋" w:hAnsi="仿宋" w:eastAsia="仿宋"/>
          <w:color w:val="auto"/>
          <w:sz w:val="32"/>
          <w:szCs w:val="32"/>
        </w:rPr>
        <w:t>竞赛规程通知；负责做好比赛场地选定、丈量及上报工作，制作比赛线路图，落实有关资料在网上颁布事宜</w:t>
      </w:r>
      <w:r>
        <w:rPr>
          <w:rFonts w:hint="eastAsia" w:ascii="仿宋" w:hAnsi="仿宋" w:eastAsia="仿宋"/>
          <w:color w:val="auto"/>
          <w:sz w:val="32"/>
          <w:szCs w:val="32"/>
          <w:lang w:eastAsia="zh-CN"/>
        </w:rPr>
        <w:t>；</w:t>
      </w:r>
      <w:r>
        <w:rPr>
          <w:rFonts w:hint="eastAsia" w:ascii="仿宋" w:hAnsi="仿宋" w:eastAsia="仿宋"/>
          <w:color w:val="auto"/>
          <w:sz w:val="32"/>
          <w:szCs w:val="32"/>
        </w:rPr>
        <w:t>负责动员组织各基层工会组队参加比赛</w:t>
      </w:r>
      <w:r>
        <w:rPr>
          <w:rFonts w:hint="eastAsia" w:ascii="仿宋" w:hAnsi="仿宋" w:eastAsia="仿宋"/>
          <w:color w:val="auto"/>
          <w:sz w:val="32"/>
          <w:szCs w:val="32"/>
          <w:lang w:eastAsia="zh-CN"/>
        </w:rPr>
        <w:t>；</w:t>
      </w:r>
      <w:r>
        <w:rPr>
          <w:rFonts w:hint="eastAsia" w:ascii="仿宋" w:hAnsi="仿宋" w:eastAsia="仿宋"/>
          <w:color w:val="auto"/>
          <w:sz w:val="32"/>
          <w:szCs w:val="32"/>
        </w:rPr>
        <w:t>负责设计本次赛事LOGO，全方位用于奖牌、纪念文化衫、宣传资料和线上宣传海报、视频、纸质媒介以及赛事组织各个环节；负责主会场氛围营造</w:t>
      </w:r>
      <w:r>
        <w:rPr>
          <w:rFonts w:hint="eastAsia" w:ascii="仿宋" w:hAnsi="仿宋" w:eastAsia="仿宋"/>
          <w:color w:val="auto"/>
          <w:sz w:val="32"/>
          <w:szCs w:val="32"/>
          <w:lang w:eastAsia="zh-CN"/>
        </w:rPr>
        <w:t>；</w:t>
      </w:r>
      <w:r>
        <w:rPr>
          <w:rFonts w:hint="eastAsia" w:ascii="仿宋" w:hAnsi="仿宋" w:eastAsia="仿宋"/>
          <w:color w:val="auto"/>
          <w:sz w:val="32"/>
          <w:szCs w:val="32"/>
        </w:rPr>
        <w:t>负责裁判队伍、志愿者的组织、培训和分配</w:t>
      </w:r>
      <w:r>
        <w:rPr>
          <w:rFonts w:hint="eastAsia" w:ascii="仿宋" w:hAnsi="仿宋" w:eastAsia="仿宋"/>
          <w:color w:val="auto"/>
          <w:sz w:val="32"/>
          <w:szCs w:val="32"/>
          <w:lang w:eastAsia="zh-CN"/>
        </w:rPr>
        <w:t>；</w:t>
      </w:r>
      <w:r>
        <w:rPr>
          <w:rFonts w:hint="eastAsia" w:ascii="仿宋" w:hAnsi="仿宋" w:eastAsia="仿宋"/>
          <w:color w:val="auto"/>
          <w:sz w:val="32"/>
          <w:szCs w:val="32"/>
        </w:rPr>
        <w:t>负责网上报名点设立，接收报名表，做好运动员人数统计；负责编排校对秩序册竞赛部分的内容，负责编印成绩册、参赛指南；分发纪念品</w:t>
      </w:r>
      <w:r>
        <w:rPr>
          <w:rFonts w:hint="eastAsia" w:ascii="仿宋" w:hAnsi="仿宋" w:eastAsia="仿宋"/>
          <w:color w:val="auto"/>
          <w:sz w:val="32"/>
          <w:szCs w:val="32"/>
          <w:lang w:eastAsia="zh-CN"/>
        </w:rPr>
        <w:t>；</w:t>
      </w:r>
      <w:r>
        <w:rPr>
          <w:rFonts w:hint="eastAsia" w:ascii="仿宋" w:hAnsi="仿宋" w:eastAsia="仿宋"/>
          <w:color w:val="auto"/>
          <w:sz w:val="32"/>
          <w:szCs w:val="32"/>
        </w:rPr>
        <w:t>负责赛场设施、器材的布置及竞赛所需的桌、椅等；负责电源、音响的安装及保证使用</w:t>
      </w:r>
      <w:r>
        <w:rPr>
          <w:rFonts w:hint="eastAsia" w:ascii="仿宋" w:hAnsi="仿宋" w:eastAsia="仿宋"/>
          <w:color w:val="auto"/>
          <w:sz w:val="32"/>
          <w:szCs w:val="32"/>
          <w:lang w:eastAsia="zh-CN"/>
        </w:rPr>
        <w:t>；</w:t>
      </w:r>
      <w:r>
        <w:rPr>
          <w:rFonts w:hint="eastAsia" w:ascii="仿宋" w:hAnsi="仿宋" w:eastAsia="仿宋"/>
          <w:color w:val="auto"/>
          <w:sz w:val="32"/>
          <w:szCs w:val="32"/>
        </w:rPr>
        <w:t>负责布置比赛场地供水点、饮料站，提供大会主席台、工作人员、安保人员、运动员比赛饮用水</w:t>
      </w:r>
      <w:r>
        <w:rPr>
          <w:rFonts w:hint="eastAsia" w:ascii="仿宋" w:hAnsi="仿宋" w:eastAsia="仿宋"/>
          <w:color w:val="auto"/>
          <w:sz w:val="32"/>
          <w:szCs w:val="32"/>
          <w:lang w:eastAsia="zh-CN"/>
        </w:rPr>
        <w:t>；</w:t>
      </w:r>
      <w:r>
        <w:rPr>
          <w:rFonts w:hint="eastAsia" w:ascii="仿宋" w:hAnsi="仿宋" w:eastAsia="仿宋"/>
          <w:color w:val="auto"/>
          <w:sz w:val="32"/>
          <w:szCs w:val="32"/>
        </w:rPr>
        <w:t>负责主席台、颁奖台、嘉宾台、起点拱门的搭建和布置，现场氛围营造</w:t>
      </w:r>
      <w:r>
        <w:rPr>
          <w:rFonts w:hint="eastAsia" w:ascii="仿宋" w:hAnsi="仿宋" w:eastAsia="仿宋"/>
          <w:color w:val="auto"/>
          <w:sz w:val="32"/>
          <w:szCs w:val="32"/>
          <w:lang w:eastAsia="zh-CN"/>
        </w:rPr>
        <w:t>及</w:t>
      </w:r>
      <w:r>
        <w:rPr>
          <w:rFonts w:hint="eastAsia" w:ascii="仿宋" w:hAnsi="仿宋" w:eastAsia="仿宋"/>
          <w:color w:val="auto"/>
          <w:sz w:val="32"/>
          <w:szCs w:val="32"/>
        </w:rPr>
        <w:t>音响布置；做好比赛场地布置（沿途指示牌、分道标志等）</w:t>
      </w:r>
      <w:r>
        <w:rPr>
          <w:rFonts w:hint="eastAsia" w:ascii="仿宋" w:hAnsi="仿宋" w:eastAsia="仿宋"/>
          <w:color w:val="auto"/>
          <w:sz w:val="32"/>
          <w:szCs w:val="32"/>
          <w:lang w:eastAsia="zh-CN"/>
        </w:rPr>
        <w:t>；</w:t>
      </w:r>
      <w:r>
        <w:rPr>
          <w:rFonts w:hint="eastAsia" w:ascii="仿宋" w:hAnsi="仿宋" w:eastAsia="仿宋"/>
          <w:color w:val="auto"/>
          <w:sz w:val="32"/>
          <w:szCs w:val="32"/>
        </w:rPr>
        <w:t>负责其他相关工作。</w:t>
      </w:r>
    </w:p>
    <w:p w14:paraId="45502E37">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四</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赛事秩序册</w:t>
      </w:r>
    </w:p>
    <w:p w14:paraId="1052D63F">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秩序册要做到准确、美观、实用。内容一般包括：</w:t>
      </w:r>
    </w:p>
    <w:p w14:paraId="608A2030">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1.社体中心印发的赛事通知；</w:t>
      </w:r>
    </w:p>
    <w:p w14:paraId="6883D1DD">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2.竞赛规程；</w:t>
      </w:r>
    </w:p>
    <w:p w14:paraId="5B0882C1">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3</w:t>
      </w:r>
      <w:r>
        <w:rPr>
          <w:rFonts w:hint="eastAsia" w:ascii="仿宋" w:hAnsi="仿宋" w:eastAsia="仿宋"/>
          <w:color w:val="auto"/>
          <w:sz w:val="32"/>
          <w:szCs w:val="32"/>
        </w:rPr>
        <w:t>.</w:t>
      </w:r>
      <w:r>
        <w:rPr>
          <w:rFonts w:hint="eastAsia" w:ascii="仿宋" w:hAnsi="仿宋" w:eastAsia="仿宋"/>
          <w:color w:val="auto"/>
          <w:sz w:val="32"/>
          <w:szCs w:val="32"/>
          <w:lang w:val="en-US" w:eastAsia="zh-CN"/>
        </w:rPr>
        <w:t>赛事</w:t>
      </w:r>
      <w:r>
        <w:rPr>
          <w:rFonts w:hint="eastAsia" w:ascii="仿宋" w:hAnsi="仿宋" w:eastAsia="仿宋"/>
          <w:color w:val="auto"/>
          <w:sz w:val="32"/>
          <w:szCs w:val="32"/>
        </w:rPr>
        <w:t>主要</w:t>
      </w:r>
      <w:r>
        <w:rPr>
          <w:rFonts w:hint="eastAsia" w:ascii="仿宋" w:hAnsi="仿宋" w:eastAsia="仿宋"/>
          <w:color w:val="auto"/>
          <w:sz w:val="32"/>
          <w:szCs w:val="32"/>
          <w:lang w:val="en-US" w:eastAsia="zh-CN"/>
        </w:rPr>
        <w:t>流程</w:t>
      </w:r>
      <w:r>
        <w:rPr>
          <w:rFonts w:hint="eastAsia" w:ascii="仿宋" w:hAnsi="仿宋" w:eastAsia="仿宋"/>
          <w:color w:val="auto"/>
          <w:sz w:val="32"/>
          <w:szCs w:val="32"/>
        </w:rPr>
        <w:t>表；</w:t>
      </w:r>
    </w:p>
    <w:p w14:paraId="292AAB4B">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lang w:val="en-US" w:eastAsia="zh-CN"/>
        </w:rPr>
        <w:t>4</w:t>
      </w:r>
      <w:r>
        <w:rPr>
          <w:rFonts w:hint="eastAsia" w:ascii="仿宋" w:hAnsi="仿宋" w:eastAsia="仿宋"/>
          <w:color w:val="auto"/>
          <w:sz w:val="32"/>
          <w:szCs w:val="32"/>
        </w:rPr>
        <w:t>.</w:t>
      </w:r>
      <w:r>
        <w:rPr>
          <w:rFonts w:hint="eastAsia" w:ascii="仿宋" w:hAnsi="仿宋" w:eastAsia="仿宋"/>
          <w:color w:val="auto"/>
          <w:sz w:val="32"/>
          <w:szCs w:val="32"/>
          <w:lang w:val="en-US" w:eastAsia="zh-CN"/>
        </w:rPr>
        <w:t>赛事简介；</w:t>
      </w:r>
    </w:p>
    <w:p w14:paraId="42C96B00">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default" w:ascii="仿宋" w:hAnsi="仿宋" w:eastAsia="仿宋"/>
          <w:color w:val="auto"/>
          <w:sz w:val="32"/>
          <w:szCs w:val="32"/>
          <w:lang w:val="en-US" w:eastAsia="zh-CN"/>
        </w:rPr>
      </w:pPr>
      <w:r>
        <w:rPr>
          <w:rFonts w:hint="eastAsia" w:ascii="仿宋" w:hAnsi="仿宋" w:eastAsia="仿宋"/>
          <w:color w:val="auto"/>
          <w:sz w:val="32"/>
          <w:szCs w:val="32"/>
          <w:lang w:val="en-US" w:eastAsia="zh-CN"/>
        </w:rPr>
        <w:t>5</w:t>
      </w:r>
      <w:r>
        <w:rPr>
          <w:rFonts w:hint="eastAsia" w:ascii="仿宋" w:hAnsi="仿宋" w:eastAsia="仿宋"/>
          <w:color w:val="auto"/>
          <w:sz w:val="32"/>
          <w:szCs w:val="32"/>
        </w:rPr>
        <w:t>.</w:t>
      </w:r>
      <w:r>
        <w:rPr>
          <w:rFonts w:hint="eastAsia" w:ascii="仿宋" w:hAnsi="仿宋" w:eastAsia="仿宋"/>
          <w:color w:val="auto"/>
          <w:sz w:val="32"/>
          <w:szCs w:val="32"/>
          <w:lang w:val="en-US" w:eastAsia="zh-CN"/>
        </w:rPr>
        <w:t>赛道示意图、会场布局图、交通引导图、参赛物品图；</w:t>
      </w:r>
    </w:p>
    <w:p w14:paraId="79B5D9A5">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9.其他：</w:t>
      </w:r>
    </w:p>
    <w:p w14:paraId="7299321C">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（1）封面、封底设计应主题鲜明，体现赛事承办地特色和赛事主要信息；</w:t>
      </w:r>
    </w:p>
    <w:p w14:paraId="4E9E87CA">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（2）赛事如有市场商业赞助、特别鸣谢单位，应</w:t>
      </w:r>
      <w:r>
        <w:rPr>
          <w:rFonts w:hint="eastAsia" w:ascii="仿宋" w:hAnsi="仿宋" w:eastAsia="仿宋"/>
          <w:color w:val="auto"/>
          <w:sz w:val="32"/>
          <w:szCs w:val="32"/>
          <w:lang w:val="en-US" w:eastAsia="zh-CN"/>
        </w:rPr>
        <w:t>统一</w:t>
      </w:r>
      <w:r>
        <w:rPr>
          <w:rFonts w:hint="eastAsia" w:ascii="仿宋" w:hAnsi="仿宋" w:eastAsia="仿宋"/>
          <w:color w:val="auto"/>
          <w:sz w:val="32"/>
          <w:szCs w:val="32"/>
        </w:rPr>
        <w:t>列出；</w:t>
      </w:r>
    </w:p>
    <w:p w14:paraId="1FE1D8C4">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仿宋" w:hAnsi="仿宋" w:eastAsia="仿宋"/>
          <w:color w:val="auto"/>
          <w:sz w:val="32"/>
          <w:szCs w:val="32"/>
        </w:rPr>
      </w:pPr>
      <w:r>
        <w:rPr>
          <w:rFonts w:hint="eastAsia" w:ascii="仿宋" w:hAnsi="仿宋" w:eastAsia="仿宋"/>
          <w:color w:val="auto"/>
          <w:sz w:val="32"/>
          <w:szCs w:val="32"/>
        </w:rPr>
        <w:t>（3）社体中心要求的其他内容，如有要求应根据版面分布予以列出。</w:t>
      </w:r>
    </w:p>
    <w:p w14:paraId="340F896A">
      <w:pPr>
        <w:keepNext w:val="0"/>
        <w:keepLines w:val="0"/>
        <w:pageBreakBefore w:val="0"/>
        <w:widowControl w:val="0"/>
        <w:kinsoku/>
        <w:wordWrap/>
        <w:overflowPunct/>
        <w:topLinePunct w:val="0"/>
        <w:autoSpaceDE/>
        <w:autoSpaceDN/>
        <w:bidi w:val="0"/>
        <w:adjustRightInd w:val="0"/>
        <w:snapToGrid w:val="0"/>
        <w:spacing w:before="0" w:beforeAutospacing="0" w:afterLines="0" w:line="540" w:lineRule="exact"/>
        <w:ind w:firstLine="640" w:firstLineChars="200"/>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五</w:t>
      </w: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赛事技术运行</w:t>
      </w:r>
    </w:p>
    <w:p w14:paraId="35A164B3">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1.起终点及路线选择应与赛事规模相匹配，具备安全、便捷、可疏散的基本条件；</w:t>
      </w:r>
    </w:p>
    <w:p w14:paraId="0A5D772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2.配备与赛事规模相适应的组织机构、管理人员和专业技术人员；</w:t>
      </w:r>
    </w:p>
    <w:p w14:paraId="36A478C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3.有充足的经费保障，确保赛事顺利运行；</w:t>
      </w:r>
    </w:p>
    <w:p w14:paraId="508D292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4.符合国家和地方法律法规的其他相关要求；</w:t>
      </w:r>
    </w:p>
    <w:p w14:paraId="6474EAC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5.地方政府应积极推动全民健身理念，鼓励群众广泛参与。  </w:t>
      </w:r>
    </w:p>
    <w:p w14:paraId="356759C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（六）运动员服务</w:t>
      </w:r>
    </w:p>
    <w:p w14:paraId="1CC44318">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1.补给保障 </w:t>
      </w:r>
    </w:p>
    <w:p w14:paraId="513222A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通常情况下，饮用水、饮料、能量补给由组委会提供，但也允许运动员自备。组委会在赛道沿途每2.5km处确保设置1个补给站；确保水和能量的充足供应。每个补给站须设置醒目提示牌，并在赛道适当的位置安排饮用水或饮料、能量补给桌便于参赛者获取。</w:t>
      </w:r>
    </w:p>
    <w:p w14:paraId="0C6FA98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（2）每个补给站应根据该站点的途经人数，为每名参赛者提供至少250毫升的水，如气温较高或有较高的风险，应酌情增加各补给站饮用水量，气温较高的情况下可配备喷淋设施为参赛员降温。 </w:t>
      </w:r>
    </w:p>
    <w:p w14:paraId="48E029B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2.收容服务</w:t>
      </w:r>
    </w:p>
    <w:p w14:paraId="7C257AE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组委会应为无法顺利完赛的运动员提供收容服务，不为被收容的参赛者提供完赛证书、排名和完赛奖牌。 </w:t>
      </w:r>
    </w:p>
    <w:p w14:paraId="011A7E1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（七）赛事裁判员</w:t>
      </w:r>
    </w:p>
    <w:p w14:paraId="1C2E774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组委会应根据项目设置和规模组建裁判员执裁团队，为所有参加执裁的裁判员提供统一的服装或标识，便于参赛者识别。裁判员团队应具备相关资质和执裁能力，重要岗位需对裁判员级别进行要求和限定。赛前多次召开裁判员工作会议，明确岗位职责，对赛事组织细节进行培训和部署。 </w:t>
      </w:r>
    </w:p>
    <w:p w14:paraId="32C20BE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（八）赛事志愿者</w:t>
      </w:r>
    </w:p>
    <w:p w14:paraId="4BE5603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组委会应根据赛事规模组建志愿者团队，为所有参加赛事服务的志愿者提供统一的服装或标识，便于参赛运动员识别。志愿者团队原则以社会招募为主，赛前组委会应组织多次志愿者培训，明确志愿者岗位职责和服务要求。 </w:t>
      </w:r>
    </w:p>
    <w:p w14:paraId="1A72A0C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（九）赛前训练与热身适应场地</w:t>
      </w:r>
    </w:p>
    <w:p w14:paraId="092BF60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1.组委会通过赛事官方公众号、自媒体等平台发布向参赛选手发送日常训练科普、赛前注意事项，鼓励选手提前进行赛前适应性训练，避免因参赛受伤。</w:t>
      </w:r>
    </w:p>
    <w:p w14:paraId="167D0E1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2.赛事开幕式阶段，邀请专业热身教练带领参赛选手进行拉伸动作、热身操，确保赛事安全进行。</w:t>
      </w:r>
    </w:p>
    <w:p w14:paraId="3D31936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（十）赛前技术会</w:t>
      </w:r>
    </w:p>
    <w:p w14:paraId="2386EE1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赛前技术会是保障赛事规范、有序、安全开展的关键环节，组委会需统筹组织，针对不同岗位人员开展专项培训，明确工作标准、流程及注意事项，确保各环节工作人员协同配合，高效完成赛事服务与执裁工作。</w:t>
      </w:r>
    </w:p>
    <w:p w14:paraId="3ECDCFC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1.志愿者培训</w:t>
      </w:r>
    </w:p>
    <w:p w14:paraId="0AA8D5B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由组委会筛选符合条件的志愿者，组建专项志愿者服务团队，在赛前技术会期间开展系统培训。培训内容重点包括：赛事整体流程、志愿者岗位职责（如签到引导、物资分发、秩序维护、应急协助等）、服务礼仪规范（仪容仪表、沟通话术、接待流程）、赛事相关知识（项目规则、场地布局、关键节点时间），以及应急处置基础方法（如选手突发不适、现场秩序混乱等情况的初步应对）。培训后需进行简单考核，确保志愿者熟练掌握相关内容，能够独立完成岗位工作，同时强调服务意识，要求志愿者热情、耐心、高效地为参赛选手、裁判员及现场观众提供服务，展现赛事良好形象。</w:t>
      </w:r>
    </w:p>
    <w:p w14:paraId="1C4C4A0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2.裁判员培训</w:t>
      </w:r>
    </w:p>
    <w:p w14:paraId="44D69B4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结合前期裁判员工作会议，赛前技术会针对裁判员开展专项深化培训，确保执裁工作精准、公正。培训重点包括：赛事项目具体执裁规则（细化判罚标准、争议处理流程、得分计算方式）、赛事流程与执裁节奏配合（如赛前检录、赛中执裁、赛后成绩核对的时间节点及衔接要求）、执裁礼仪与沟通规范（与选手、其他裁判员、组委会的沟通方式），以及特殊情况处置预案（如选手违规、设备故障、突发安全事件等情况下的执裁调整）。培训过程中可结合典型案例进行分析，组织裁判员开展模拟执裁演练，统一判罚尺度，明确重要岗位执裁要点，确保所有裁判员严格按照规则执裁，保障赛事的公平性和专业性。</w:t>
      </w:r>
    </w:p>
    <w:p w14:paraId="512903A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3.礼仪培训</w:t>
      </w:r>
    </w:p>
    <w:p w14:paraId="291E1F9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重点针对赛事专属礼仪人员开展专项礼仪培训，规范其服务行为，保障开幕式、颁奖仪式等关键环节有序推进，彰显赛事专业性与仪式感。培训内容包括：基本仪容仪表规范（严格遵循赛事统一着装要求、规范发型妆容、保持饱满精神面貌）、行为礼仪（标准站姿、坐姿、行走姿态，杜绝不雅行为）、沟通礼仪（使用礼貌用语、掌握倾听技巧、做好情绪管理，精准回应参赛选手及相关人员咨询），以及专项礼仪（开幕式引导、嘉宾接待、颁奖仪式等核心环节的礼仪规范，明确引导姿势、颁奖流程、礼仪人员站位、物品传递方式等细节）。培训需注重实操性，通过现场示范、分组演练等方式，确保礼仪人员熟练掌握各类礼仪规范，在赛事关键环节展现得体、专业的形象，提升整体赛事体验感。</w:t>
      </w:r>
    </w:p>
    <w:p w14:paraId="628041B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（十一）参赛装备检验</w:t>
      </w:r>
    </w:p>
    <w:p w14:paraId="3B4E338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1.赛事安检</w:t>
      </w:r>
    </w:p>
    <w:p w14:paraId="10FB936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赛事应设置专业安检人员及志愿者配合开展工作，对所有参赛选手及进入赛场的相关人员进行安检。安检重点包括：禁止携带易燃易爆、尖锐利器、有毒有害等危险物品，同时检查选手携带的个人物品，避免携带可能影响赛事秩序或造成安全隐患的物品（如大型横幅、违规标语）。对安检不合格的物品，予以暂时保管或禁止带入赛场，对拒不配合安检的人员，取消其参赛或入场资格，确保赛场环境安全有序。</w:t>
      </w:r>
    </w:p>
    <w:p w14:paraId="0398A46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2.运动着装检查</w:t>
      </w:r>
    </w:p>
    <w:p w14:paraId="3865E7B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赛前检录阶段，</w:t>
      </w:r>
      <w:r>
        <w:rPr>
          <w:rFonts w:hint="eastAsia" w:ascii="仿宋" w:hAnsi="仿宋" w:eastAsia="仿宋" w:cs="仿宋"/>
          <w:color w:val="auto"/>
          <w:sz w:val="32"/>
          <w:szCs w:val="32"/>
          <w:lang w:val="en-US" w:eastAsia="zh-CN"/>
        </w:rPr>
        <w:t>检录工作人员</w:t>
      </w:r>
      <w:r>
        <w:rPr>
          <w:rFonts w:hint="default" w:ascii="仿宋" w:hAnsi="仿宋" w:eastAsia="仿宋" w:cs="仿宋"/>
          <w:color w:val="auto"/>
          <w:sz w:val="32"/>
          <w:szCs w:val="32"/>
          <w:lang w:val="en-US" w:eastAsia="zh-CN"/>
        </w:rPr>
        <w:t>对参赛选手的运动着装进行检查，确保符合赛事项目要求及安全标准。检查重点包括：</w:t>
      </w:r>
      <w:r>
        <w:rPr>
          <w:rFonts w:hint="eastAsia" w:ascii="仿宋" w:hAnsi="仿宋" w:eastAsia="仿宋" w:cs="仿宋"/>
          <w:color w:val="auto"/>
          <w:sz w:val="32"/>
          <w:szCs w:val="32"/>
          <w:lang w:val="en-US" w:eastAsia="zh-CN"/>
        </w:rPr>
        <w:t>奇装异服、带有政治性、歧视性、侮辱性等标语的服装、不符合运动安全的鞋服（如高跟鞋）等。对于着装不合格的选手，将禁止其进入检录区。</w:t>
      </w:r>
    </w:p>
    <w:p w14:paraId="576EE26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（十二）赛事成绩管理</w:t>
      </w:r>
    </w:p>
    <w:p w14:paraId="01F2455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组委会应详细准确地记录每位参赛者的完赛成绩，并可在赛事关门结束前根据完赛名次及完成度先行进行颁奖，然后于7个工作日内公布获奖名单，提供完赛成绩的实时查询服务。组委会应在主要点位和终点设置比赛录像，便于仲裁取证。 </w:t>
      </w:r>
    </w:p>
    <w:p w14:paraId="2F4B69B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1.赛事应使用合格的感应计时产品，至少在起终点、折返点设置感应计时点。 </w:t>
      </w:r>
    </w:p>
    <w:p w14:paraId="01381E0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2.在赛事关门时间内向完成比赛的参赛者提供奖牌，并在赛后将完赛证书及时提供给参赛选手（可网上公布，自行下载打印）。 </w:t>
      </w:r>
    </w:p>
    <w:p w14:paraId="32EC495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（十三）气象保障</w:t>
      </w:r>
    </w:p>
    <w:p w14:paraId="3C8D6CA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赛事</w:t>
      </w:r>
      <w:r>
        <w:rPr>
          <w:rFonts w:hint="eastAsia" w:ascii="仿宋" w:hAnsi="仿宋" w:eastAsia="仿宋" w:cs="仿宋"/>
          <w:color w:val="auto"/>
          <w:sz w:val="32"/>
          <w:szCs w:val="32"/>
          <w:lang w:val="en-US" w:eastAsia="zh-CN"/>
        </w:rPr>
        <w:t>组委会</w:t>
      </w:r>
      <w:r>
        <w:rPr>
          <w:rFonts w:hint="default" w:ascii="仿宋" w:hAnsi="仿宋" w:eastAsia="仿宋" w:cs="仿宋"/>
          <w:color w:val="auto"/>
          <w:sz w:val="32"/>
          <w:szCs w:val="32"/>
          <w:lang w:val="en-US" w:eastAsia="zh-CN"/>
        </w:rPr>
        <w:t>应提前与当地气象部门联系，了解赛事期间的天气情况，并</w:t>
      </w:r>
      <w:r>
        <w:rPr>
          <w:rFonts w:hint="eastAsia" w:ascii="仿宋" w:hAnsi="仿宋" w:eastAsia="仿宋" w:cs="仿宋"/>
          <w:color w:val="auto"/>
          <w:sz w:val="32"/>
          <w:szCs w:val="32"/>
          <w:lang w:val="en-US" w:eastAsia="zh-CN"/>
        </w:rPr>
        <w:t>通过短信、公众号推文等方式向参赛选手</w:t>
      </w:r>
      <w:r>
        <w:rPr>
          <w:rFonts w:hint="default" w:ascii="仿宋" w:hAnsi="仿宋" w:eastAsia="仿宋" w:cs="仿宋"/>
          <w:color w:val="auto"/>
          <w:sz w:val="32"/>
          <w:szCs w:val="32"/>
          <w:lang w:val="en-US" w:eastAsia="zh-CN"/>
        </w:rPr>
        <w:t>予以通知。</w:t>
      </w:r>
    </w:p>
    <w:p w14:paraId="70CADD4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尤其要注意高气温比赛环境的特殊配置与操作：</w:t>
      </w:r>
    </w:p>
    <w:p w14:paraId="78DAA96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（1）提醒运动员赛前做好充分的防暑降温准备。</w:t>
      </w:r>
    </w:p>
    <w:p w14:paraId="429E634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（2）在比赛现场保证足够的饮用水供应。</w:t>
      </w:r>
    </w:p>
    <w:p w14:paraId="5820D71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（3）为赛场工作的志愿者、技术官员、工作人员等提供</w:t>
      </w:r>
      <w:r>
        <w:rPr>
          <w:rFonts w:hint="eastAsia" w:ascii="仿宋" w:hAnsi="仿宋" w:eastAsia="仿宋" w:cs="仿宋"/>
          <w:color w:val="auto"/>
          <w:sz w:val="32"/>
          <w:szCs w:val="32"/>
          <w:lang w:val="en-US" w:eastAsia="zh-CN"/>
        </w:rPr>
        <w:t>喷淋、</w:t>
      </w:r>
      <w:r>
        <w:rPr>
          <w:rFonts w:hint="default" w:ascii="仿宋" w:hAnsi="仿宋" w:eastAsia="仿宋" w:cs="仿宋"/>
          <w:color w:val="auto"/>
          <w:sz w:val="32"/>
          <w:szCs w:val="32"/>
          <w:lang w:val="en-US" w:eastAsia="zh-CN"/>
        </w:rPr>
        <w:t>藿香正气水、</w:t>
      </w:r>
      <w:r>
        <w:rPr>
          <w:rFonts w:hint="eastAsia" w:ascii="仿宋" w:hAnsi="仿宋" w:eastAsia="仿宋" w:cs="仿宋"/>
          <w:color w:val="auto"/>
          <w:sz w:val="32"/>
          <w:szCs w:val="32"/>
          <w:lang w:val="en-US" w:eastAsia="zh-CN"/>
        </w:rPr>
        <w:t>人丹</w:t>
      </w:r>
      <w:r>
        <w:rPr>
          <w:rFonts w:hint="default" w:ascii="仿宋" w:hAnsi="仿宋" w:eastAsia="仿宋" w:cs="仿宋"/>
          <w:color w:val="auto"/>
          <w:sz w:val="32"/>
          <w:szCs w:val="32"/>
          <w:lang w:val="en-US" w:eastAsia="zh-CN"/>
        </w:rPr>
        <w:t>等防暑降温物品。</w:t>
      </w:r>
    </w:p>
    <w:p w14:paraId="79CC701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（十四）通信保障</w:t>
      </w:r>
    </w:p>
    <w:p w14:paraId="4EC699F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赛事</w:t>
      </w:r>
      <w:r>
        <w:rPr>
          <w:rFonts w:hint="eastAsia" w:ascii="仿宋" w:hAnsi="仿宋" w:eastAsia="仿宋" w:cs="仿宋"/>
          <w:color w:val="auto"/>
          <w:sz w:val="32"/>
          <w:szCs w:val="32"/>
          <w:lang w:val="en-US" w:eastAsia="zh-CN"/>
        </w:rPr>
        <w:t>组委会应提前沟通</w:t>
      </w:r>
      <w:r>
        <w:rPr>
          <w:rFonts w:hint="default" w:ascii="仿宋" w:hAnsi="仿宋" w:eastAsia="仿宋" w:cs="仿宋"/>
          <w:color w:val="auto"/>
          <w:sz w:val="32"/>
          <w:szCs w:val="32"/>
          <w:lang w:val="en-US" w:eastAsia="zh-CN"/>
        </w:rPr>
        <w:t>主流通信运营商统筹规划、全面部署，确保赛事现场网络信号稳定、运营商服务高效，保障参赛选手、工作人员及相关人员的通信需求，杜绝因信号问题影响赛事正常开展。</w:t>
      </w:r>
    </w:p>
    <w:p w14:paraId="08E6DCF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1.运营商协同对接：赛前组委会与当地主流通信运营商（移动、联通、电信）</w:t>
      </w:r>
      <w:r>
        <w:rPr>
          <w:rFonts w:hint="eastAsia" w:ascii="仿宋" w:hAnsi="仿宋" w:eastAsia="仿宋" w:cs="仿宋"/>
          <w:color w:val="auto"/>
          <w:sz w:val="32"/>
          <w:szCs w:val="32"/>
          <w:lang w:val="en-US" w:eastAsia="zh-CN"/>
        </w:rPr>
        <w:t>明确保障内容</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落实专人</w:t>
      </w:r>
      <w:r>
        <w:rPr>
          <w:rFonts w:hint="default" w:ascii="仿宋" w:hAnsi="仿宋" w:eastAsia="仿宋" w:cs="仿宋"/>
          <w:color w:val="auto"/>
          <w:sz w:val="32"/>
          <w:szCs w:val="32"/>
          <w:lang w:val="en-US" w:eastAsia="zh-CN"/>
        </w:rPr>
        <w:t>负责赛事现场网络信号的全覆盖、稳定性及应急处置工作，确保运营商服务全程跟进。</w:t>
      </w:r>
    </w:p>
    <w:p w14:paraId="45C912D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2.网络信号全覆盖与优化：赛前运营商保障团队对赛事全程区域进行信号勘测，针对信号薄弱、盲区区域，增设信号增强设备，优化网络覆盖，满足选手打卡、工作人员信息上报、现场直播等各类网络需求。</w:t>
      </w:r>
    </w:p>
    <w:p w14:paraId="4B7F972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（十五）赛事保险</w:t>
      </w:r>
    </w:p>
    <w:p w14:paraId="508E2C6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组委会应确保为参赛者和组委会工作人员、裁判员、志愿者提供足额人身意外保险，确保组委会有公众责任险。</w:t>
      </w:r>
    </w:p>
    <w:p w14:paraId="0B86A3C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（十六）赛风赛纪与反兴奋剂注意事项</w:t>
      </w:r>
    </w:p>
    <w:p w14:paraId="4933E95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反兴奋剂</w:t>
      </w:r>
      <w:r>
        <w:rPr>
          <w:rFonts w:hint="eastAsia" w:ascii="仿宋" w:hAnsi="仿宋" w:eastAsia="仿宋" w:cs="仿宋"/>
          <w:color w:val="auto"/>
          <w:sz w:val="32"/>
          <w:szCs w:val="32"/>
          <w:lang w:val="en-US" w:eastAsia="zh-CN"/>
        </w:rPr>
        <w:t>条例</w:t>
      </w:r>
    </w:p>
    <w:p w14:paraId="1D42883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所有参赛选手须严格遵守《世界反兴奋剂条例》和国家体育总局发布的《反兴奋剂规则</w:t>
      </w:r>
      <w:r>
        <w:rPr>
          <w:rFonts w:hint="eastAsia" w:ascii="仿宋" w:hAnsi="仿宋" w:eastAsia="仿宋" w:cs="仿宋"/>
          <w:color w:val="auto"/>
          <w:sz w:val="32"/>
          <w:szCs w:val="32"/>
          <w:lang w:val="en-US" w:eastAsia="zh-CN"/>
        </w:rPr>
        <w:t>》等</w:t>
      </w:r>
      <w:r>
        <w:rPr>
          <w:rFonts w:hint="default" w:ascii="仿宋" w:hAnsi="仿宋" w:eastAsia="仿宋" w:cs="仿宋"/>
          <w:color w:val="auto"/>
          <w:sz w:val="32"/>
          <w:szCs w:val="32"/>
          <w:lang w:val="en-US" w:eastAsia="zh-CN"/>
        </w:rPr>
        <w:t>相关要求参加比赛。任何选手在比赛过程中使用违规药品（兴奋剂）的，都将取消其比赛成绩及其他与比赛有关的收益，且终身不得报名参与本系列赛事。</w:t>
      </w:r>
    </w:p>
    <w:p w14:paraId="4555CD8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选手及运动员可通过中国反兴奋剂教育平台</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CADEP</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https://dleanmedal.chinada.cn</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学习反兴奋剂知识并获取反兴奋剂教育准入证书。</w:t>
      </w:r>
    </w:p>
    <w:p w14:paraId="1F9B9BF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2.赛事违规</w:t>
      </w:r>
    </w:p>
    <w:p w14:paraId="6A17079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组委会将对出现以下违反比赛规定的参赛者取消参赛成绩；</w:t>
      </w:r>
    </w:p>
    <w:p w14:paraId="3AEC4D8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虚假年龄报名或报名后由他人替跑；</w:t>
      </w:r>
    </w:p>
    <w:p w14:paraId="7A14D08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参赛者携带他人计时芯片或一名选手同时携带两枚或两枚以上（包括男选手携带女选手）计时芯片参加比赛；</w:t>
      </w:r>
    </w:p>
    <w:p w14:paraId="635708C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不按规定的起跑顺序在非指定区域起跑；</w:t>
      </w:r>
    </w:p>
    <w:p w14:paraId="4E329C0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起跑有违反规则行为的；</w:t>
      </w:r>
    </w:p>
    <w:p w14:paraId="7E41C49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关门时间到后不停止比赛或退出比赛后又返回赛道的；</w:t>
      </w:r>
    </w:p>
    <w:p w14:paraId="6FD3616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default" w:ascii="仿宋" w:hAnsi="仿宋" w:eastAsia="仿宋" w:cs="仿宋"/>
          <w:color w:val="auto"/>
          <w:sz w:val="32"/>
          <w:szCs w:val="32"/>
          <w:lang w:val="en-US" w:eastAsia="zh-CN"/>
        </w:rPr>
        <w:t>没有沿规定线路跑完所报项目的全程，抄近道或乘交通工具途中插入的；</w:t>
      </w:r>
    </w:p>
    <w:p w14:paraId="6930A2F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w:t>
      </w:r>
      <w:r>
        <w:rPr>
          <w:rFonts w:hint="default" w:ascii="仿宋" w:hAnsi="仿宋" w:eastAsia="仿宋" w:cs="仿宋"/>
          <w:color w:val="auto"/>
          <w:sz w:val="32"/>
          <w:szCs w:val="32"/>
          <w:lang w:val="en-US" w:eastAsia="zh-CN"/>
        </w:rPr>
        <w:t>在终点不按规定要求重复通过终点领取纪念品；</w:t>
      </w:r>
    </w:p>
    <w:p w14:paraId="236122E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w:t>
      </w:r>
      <w:r>
        <w:rPr>
          <w:rFonts w:hint="default" w:ascii="仿宋" w:hAnsi="仿宋" w:eastAsia="仿宋" w:cs="仿宋"/>
          <w:color w:val="auto"/>
          <w:sz w:val="32"/>
          <w:szCs w:val="32"/>
          <w:lang w:val="en-US" w:eastAsia="zh-CN"/>
        </w:rPr>
        <w:t>未跑完全程，私自通过终点领取纪念品的；</w:t>
      </w:r>
    </w:p>
    <w:p w14:paraId="4CAB1F9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w:t>
      </w:r>
      <w:r>
        <w:rPr>
          <w:rFonts w:hint="default" w:ascii="仿宋" w:hAnsi="仿宋" w:eastAsia="仿宋" w:cs="仿宋"/>
          <w:color w:val="auto"/>
          <w:sz w:val="32"/>
          <w:szCs w:val="32"/>
          <w:lang w:val="en-US" w:eastAsia="zh-CN"/>
        </w:rPr>
        <w:t>运动员没有按规定携带自己号码布通过终点的；</w:t>
      </w:r>
    </w:p>
    <w:p w14:paraId="238B5B9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w:t>
      </w:r>
      <w:r>
        <w:rPr>
          <w:rFonts w:hint="default" w:ascii="仿宋" w:hAnsi="仿宋" w:eastAsia="仿宋" w:cs="仿宋"/>
          <w:color w:val="auto"/>
          <w:sz w:val="32"/>
          <w:szCs w:val="32"/>
          <w:lang w:val="en-US" w:eastAsia="zh-CN"/>
        </w:rPr>
        <w:t>私自伪造号码布，使用其他赛事号码布通过终点领取完赛物品、完赛奖牌；</w:t>
      </w:r>
    </w:p>
    <w:p w14:paraId="5693A41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（11）</w:t>
      </w:r>
      <w:r>
        <w:rPr>
          <w:rFonts w:hint="default" w:ascii="仿宋" w:hAnsi="仿宋" w:eastAsia="仿宋" w:cs="仿宋"/>
          <w:color w:val="auto"/>
          <w:sz w:val="32"/>
          <w:szCs w:val="32"/>
          <w:lang w:val="en-US" w:eastAsia="zh-CN"/>
        </w:rPr>
        <w:t>私自涂改、遮挡号码布参赛或转让号码布；</w:t>
      </w:r>
    </w:p>
    <w:p w14:paraId="68E86AE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（12）</w:t>
      </w:r>
      <w:r>
        <w:rPr>
          <w:rFonts w:hint="default" w:ascii="仿宋" w:hAnsi="仿宋" w:eastAsia="仿宋" w:cs="仿宋"/>
          <w:color w:val="auto"/>
          <w:sz w:val="32"/>
          <w:szCs w:val="32"/>
          <w:lang w:val="en-US" w:eastAsia="zh-CN"/>
        </w:rPr>
        <w:t>携带非组委会发放芯片通过终点的；</w:t>
      </w:r>
    </w:p>
    <w:p w14:paraId="5A27573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（13）</w:t>
      </w:r>
      <w:r>
        <w:rPr>
          <w:rFonts w:hint="default" w:ascii="仿宋" w:hAnsi="仿宋" w:eastAsia="仿宋" w:cs="仿宋"/>
          <w:color w:val="auto"/>
          <w:sz w:val="32"/>
          <w:szCs w:val="32"/>
          <w:lang w:val="en-US" w:eastAsia="zh-CN"/>
        </w:rPr>
        <w:t>以接力方式完成比赛；</w:t>
      </w:r>
    </w:p>
    <w:p w14:paraId="7AC1CA8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（14）</w:t>
      </w:r>
      <w:r>
        <w:rPr>
          <w:rFonts w:hint="default" w:ascii="仿宋" w:hAnsi="仿宋" w:eastAsia="仿宋" w:cs="仿宋"/>
          <w:color w:val="auto"/>
          <w:sz w:val="32"/>
          <w:szCs w:val="32"/>
          <w:lang w:val="en-US" w:eastAsia="zh-CN"/>
        </w:rPr>
        <w:t>不服从赛事工作人员的指挥，干扰赛事，打架斗殴，聚众闹事的；</w:t>
      </w:r>
    </w:p>
    <w:p w14:paraId="0938AC2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（15）</w:t>
      </w:r>
      <w:r>
        <w:rPr>
          <w:rFonts w:hint="default" w:ascii="仿宋" w:hAnsi="仿宋" w:eastAsia="仿宋" w:cs="仿宋"/>
          <w:color w:val="auto"/>
          <w:sz w:val="32"/>
          <w:szCs w:val="32"/>
          <w:lang w:val="en-US" w:eastAsia="zh-CN"/>
        </w:rPr>
        <w:t>出现不文明行为（如随地便溺、乱扔垃圾等）；</w:t>
      </w:r>
    </w:p>
    <w:p w14:paraId="1E8683E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（16）</w:t>
      </w:r>
      <w:r>
        <w:rPr>
          <w:rFonts w:hint="default" w:ascii="仿宋" w:hAnsi="仿宋" w:eastAsia="仿宋" w:cs="仿宋"/>
          <w:color w:val="auto"/>
          <w:sz w:val="32"/>
          <w:szCs w:val="32"/>
          <w:lang w:val="en-US" w:eastAsia="zh-CN"/>
        </w:rPr>
        <w:t>其他违反规则规定的行为。</w:t>
      </w:r>
    </w:p>
    <w:p w14:paraId="6A6C16F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三、安全与应急管理</w:t>
      </w:r>
    </w:p>
    <w:p w14:paraId="34A85C9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（一）比赛特点与安全风险概述</w:t>
      </w:r>
    </w:p>
    <w:p w14:paraId="0568FA5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1.安全优先原则</w:t>
      </w:r>
    </w:p>
    <w:p w14:paraId="69CD0A8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坚持以人为本，落实安全、防疫、医疗、救援等各项保障措施。 </w:t>
      </w:r>
    </w:p>
    <w:p w14:paraId="741C7D87">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威胁来源</w:t>
      </w:r>
    </w:p>
    <w:p w14:paraId="71A9E353">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个人极端行为，</w:t>
      </w:r>
      <w:r>
        <w:rPr>
          <w:rFonts w:hint="eastAsia" w:ascii="仿宋" w:hAnsi="仿宋" w:eastAsia="仿宋" w:cs="仿宋"/>
          <w:color w:val="auto"/>
          <w:sz w:val="32"/>
          <w:szCs w:val="32"/>
          <w:lang w:val="en-US" w:eastAsia="zh-CN"/>
        </w:rPr>
        <w:t>进行</w:t>
      </w:r>
      <w:r>
        <w:rPr>
          <w:rFonts w:hint="default" w:ascii="仿宋" w:hAnsi="仿宋" w:eastAsia="仿宋" w:cs="仿宋"/>
          <w:color w:val="auto"/>
          <w:sz w:val="32"/>
          <w:szCs w:val="32"/>
          <w:lang w:val="en-US" w:eastAsia="zh-CN"/>
        </w:rPr>
        <w:t>报复社会</w:t>
      </w:r>
      <w:r>
        <w:rPr>
          <w:rFonts w:hint="eastAsia" w:ascii="仿宋" w:hAnsi="仿宋" w:eastAsia="仿宋" w:cs="仿宋"/>
          <w:color w:val="auto"/>
          <w:sz w:val="32"/>
          <w:szCs w:val="32"/>
          <w:lang w:val="en-US" w:eastAsia="zh-CN"/>
        </w:rPr>
        <w:t>的活动</w:t>
      </w:r>
      <w:r>
        <w:rPr>
          <w:rFonts w:hint="default" w:ascii="仿宋" w:hAnsi="仿宋" w:eastAsia="仿宋" w:cs="仿宋"/>
          <w:color w:val="auto"/>
          <w:sz w:val="32"/>
          <w:szCs w:val="32"/>
          <w:lang w:val="en-US" w:eastAsia="zh-CN"/>
        </w:rPr>
        <w:t>。</w:t>
      </w:r>
    </w:p>
    <w:p w14:paraId="4D891B14">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赛事活动场地安全性。</w:t>
      </w:r>
    </w:p>
    <w:p w14:paraId="7C0C5925">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参赛人员突发疾病。</w:t>
      </w:r>
    </w:p>
    <w:p w14:paraId="1C461349">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地震。</w:t>
      </w:r>
    </w:p>
    <w:p w14:paraId="3680BFA4">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火灾。</w:t>
      </w:r>
    </w:p>
    <w:p w14:paraId="06C3F4A7">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default" w:ascii="仿宋" w:hAnsi="仿宋" w:eastAsia="仿宋" w:cs="仿宋"/>
          <w:color w:val="auto"/>
          <w:sz w:val="32"/>
          <w:szCs w:val="32"/>
          <w:lang w:val="en-US" w:eastAsia="zh-CN"/>
        </w:rPr>
        <w:t>食品安全。</w:t>
      </w:r>
    </w:p>
    <w:p w14:paraId="4EB97E4A">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w:t>
      </w:r>
      <w:r>
        <w:rPr>
          <w:rFonts w:hint="default" w:ascii="仿宋" w:hAnsi="仿宋" w:eastAsia="仿宋" w:cs="仿宋"/>
          <w:color w:val="auto"/>
          <w:sz w:val="32"/>
          <w:szCs w:val="32"/>
          <w:lang w:val="en-US" w:eastAsia="zh-CN"/>
        </w:rPr>
        <w:t>舆情安全。</w:t>
      </w:r>
    </w:p>
    <w:p w14:paraId="7AC1B51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（二）参赛风险教育</w:t>
      </w:r>
    </w:p>
    <w:p w14:paraId="6E40E22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组委会应确保每位参赛选手充分知晓赛事相关风险，提升自我防护意识。赛前通过赛事官方公众号、参赛手册、短信通知、现场宣讲等多种形式，向选手普及赛事项目相关风险（如运动损伤、突发疾病、场地环境风险等）、自我防护技巧（如合理热身、体力分配、不适及时停止等），以及赛事应急处置流程、求助方式（如应急呼叫电话、现场医疗点位置等）。针对不同年龄段、不同项目的选手，开展针对性风险提示，重点强调高强度、对抗性项目的安全注意事项，同时提醒选手结合自身健康状况参赛，杜绝隐瞒病史、强行参赛，从源头降低参赛风险。</w:t>
      </w:r>
    </w:p>
    <w:p w14:paraId="70A950A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（三）参赛资格审查</w:t>
      </w:r>
    </w:p>
    <w:p w14:paraId="4436F7B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组委会应建立资格审查机制，全程规范审查流程。赛前对所有报名选手的资格进行全面审核，重点核查选手身份信息（确保本人参赛，杜绝冒名顶替）、年龄限制（符合赛事各项目年龄要求）、健康状况（提供有效健康证明或体检报告，确认无不适宜参赛的疾病）。对不符合资格的选手，及时通知并取消其参赛资格，同时做好解释说明工作；在赛前检录阶段进行二次资格复核，确保参赛选手资格合规，杜绝违规参赛情况。</w:t>
      </w:r>
    </w:p>
    <w:p w14:paraId="2281AC3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（四）参赛保险确认</w:t>
      </w:r>
    </w:p>
    <w:p w14:paraId="4ABC1AD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组委会为所有参赛选手购买比赛期间的人身意外伤害保险（含猝死，不含往返参赛途中的交通意外），其中6KM以下短距离体验赛选手保额不少于50万，6KM以上长距离挑战赛选手保额不少于80万，组委会为参赛选手投保的保险保障范围以参赛选手报名时提供的个人参赛信息为准，因参赛选手提供的个人信息有误导致无法承保的，参赛选手在比赛中发生的任何意外事项导致的后果由参赛选手自行负责。替跑、蹭跑、倒卖参赛资格以及使用非本次赛事号码布的违规人员均不在组委会投保的保险保障范围内，发生的一切事项后果自行承担，均与组委会无关。</w:t>
      </w:r>
    </w:p>
    <w:p w14:paraId="4AC8C84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2.参赛选手因身体状况需要而继续接受的非比赛中以及非急救性质的医务治疗所产生的相关费用，均由参赛选手自行与医院结算，后与保险公司协商按程序进行理赔。</w:t>
      </w:r>
    </w:p>
    <w:p w14:paraId="2B04B12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3.参赛选手在往返参赛途中的交通意外险需由选手自行购买，如因选手未购买该项保险而产生的一切后果，均由选手自行承担。</w:t>
      </w:r>
    </w:p>
    <w:p w14:paraId="017A6E4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（五）保险支持</w:t>
      </w:r>
    </w:p>
    <w:p w14:paraId="4E2D99E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组委会应安排专人负责保险相关工作，全程对接保险公司，协助选手、工作人员在发生意外时办理理赔手续，提供必要的证明材料，简化理赔流程，确保理赔高效、便捷。</w:t>
      </w:r>
    </w:p>
    <w:p w14:paraId="7F88275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（六）赛中安保、交通、消防、安监、气象、通信、食品安全、医疗急救、赛场安全等应急保障</w:t>
      </w:r>
    </w:p>
    <w:p w14:paraId="16ED450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1.赛事安保与交通保障</w:t>
      </w:r>
    </w:p>
    <w:p w14:paraId="4E2ED1B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（1）组委会须严格执行国家和地方颁布的《大型群众性活动安全管理条例》的有关规定来组织安防保障工作。</w:t>
      </w:r>
    </w:p>
    <w:p w14:paraId="1CA4626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（2）组委会须制定周密的赛事安防保障方案，方案包括起终点、赛道沿途及赛事功能设施使用区域等各个方面。 </w:t>
      </w:r>
    </w:p>
    <w:p w14:paraId="76DA9E7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（3）为切实做好赛事各区域的人员管理工作，组委会须制作赛事工作证件，对赛事各区域进行严格管理。 </w:t>
      </w:r>
    </w:p>
    <w:p w14:paraId="32CDBA5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（4）赛事组委会须根据赛事路线特点制定科学、合理的交通管制方案和人员疏散方案，确保各主要路口的交通安全。 </w:t>
      </w:r>
    </w:p>
    <w:p w14:paraId="18122638">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①起点区域保持交通管制至最后一名参赛者离开起点； </w:t>
      </w:r>
    </w:p>
    <w:p w14:paraId="0118235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②终点区域保持交通管制至公布的关门时间顺延至少1小时直至道路终点拱门拆除，防止拆除拱门时引发交通事故或意外事故； </w:t>
      </w:r>
    </w:p>
    <w:p w14:paraId="0951628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③赛事线路必须采用全程或分时、分段交通管制，直至公布的关门时间。如果是双向交通的公路，参赛者只用其中一侧，则可以只对使用的一侧进行管制； </w:t>
      </w:r>
    </w:p>
    <w:p w14:paraId="764097B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④所有赛事在赛道上要根据当地实际情况安排相应的安保人员和检查裁判员，交通路口须有警察进行管理； </w:t>
      </w:r>
    </w:p>
    <w:p w14:paraId="20A9E3A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⑤关于交通管制的公告须于赛事举办前1-2周向社会公布，以方便群众出行。</w:t>
      </w:r>
    </w:p>
    <w:p w14:paraId="56F686A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2.赛事医疗保障</w:t>
      </w:r>
    </w:p>
    <w:p w14:paraId="1A6D80E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在比赛期间，起终点及赛道沿线均须配备急救设备（包括AED等）和专业医务人员，必要时配备卫生检疫人员，确保及时发现并能在最短时间内在现场实施急救并将危重伤病人员送到指定的医疗机构。 </w:t>
      </w:r>
    </w:p>
    <w:p w14:paraId="36BA558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（1）组委会应详细列出比赛中医疗站的位置和其提供的医疗服务，并在正规医疗、卫生检疫机构的指导下制定比赛的医疗、防疫检疫方案和突发事件的应急预案。 </w:t>
      </w:r>
    </w:p>
    <w:p w14:paraId="3A5D9E3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（2）组委会须在赛事举办期间指定一所距离比赛场地直线距离不超过5km且能在10分钟内到达的医院作为组委会官方医院，并标明医疗地点，组委会需和公安、医疗、交通管理部门协调，开通绿色急救通道。 </w:t>
      </w:r>
    </w:p>
    <w:p w14:paraId="683CAE9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（3）赛事组委会应根据实际情况安排足够的移动救护人员、移动陪护人员、医疗救护车和医疗站，同时在赛道沿线安排足够的医疗志愿者进行服务，确保在第一时间发现、报告并开展救治工作。 </w:t>
      </w:r>
    </w:p>
    <w:p w14:paraId="0417F72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（4）组委会应明确医疗、检疫服务中所发生费用的经济责任。 </w:t>
      </w:r>
    </w:p>
    <w:p w14:paraId="53FF285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3.赛事救援保障</w:t>
      </w:r>
    </w:p>
    <w:p w14:paraId="4E01D8B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在比赛期间，起终点及赛道沿线配备足够的救援人员，确保及时发现并能在最短时间内在现场实施急救并将危重伤病人员配合医护人员送到指定的医疗机构。 </w:t>
      </w:r>
    </w:p>
    <w:p w14:paraId="228FCBE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（1）因地制宜制定救援保障方案。</w:t>
      </w:r>
    </w:p>
    <w:p w14:paraId="6D71DB7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（2）赛事线路为旅游景区且道路起伏较大，车辆无法大规模行动，则必须配备充足的救援人员及设备保障，制定紧急预案。</w:t>
      </w:r>
    </w:p>
    <w:p w14:paraId="43EC6AF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3）组委会应根据实际情况安排足够的定点救援人员、移动救援人员、救援车和移动便携式AED等急救装备，确保在第一时间发现、报告并配合医疗救护开展救治工作，如遇情节严重的伤者，在医疗保障赶到之前进行救助，后转交医疗保障进行抢救。 </w:t>
      </w:r>
    </w:p>
    <w:p w14:paraId="69AA7A6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（4）组委会还应明确救援人员招募所需费用的经济责任。 </w:t>
      </w:r>
    </w:p>
    <w:p w14:paraId="4B1F06F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4.赛事服务保障</w:t>
      </w:r>
    </w:p>
    <w:p w14:paraId="48B4726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在比赛期间，起终点及赛道沿线的赛事服务保障人员或者物资都需准备充足，根据实际情况物资可多量准备，防止物资出现损坏或丢失而导致参赛者在参赛时无法领取或使用组委会准备的物资。</w:t>
      </w:r>
    </w:p>
    <w:p w14:paraId="0E58435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（1）组委会应在赛前详细制定本次赛事所需物资物料和服务人员，按照大型活动准备条件，从大到小，从粗略到精细，全方面考虑赛事物资物料和赛事服务人员的准备工作。 </w:t>
      </w:r>
    </w:p>
    <w:p w14:paraId="1CDC032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（2）确保所有参与赛事保障或服务的人员礼节、文明用语培训到位。</w:t>
      </w:r>
    </w:p>
    <w:p w14:paraId="64E2240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（3）赛事组委会应根据补给站数量，安排相应志愿者在各站点进行赛事服务。</w:t>
      </w:r>
    </w:p>
    <w:p w14:paraId="4133129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（4）组委会还应确保起终点服务岗位充实，包含互动、指引、咨询、存物等人员配置。</w:t>
      </w:r>
    </w:p>
    <w:p w14:paraId="0C7595F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（七）应急指挥</w:t>
      </w:r>
    </w:p>
    <w:p w14:paraId="799C734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1.指挥（管理）中心构成包含决策委员会（赛事组委会成员单位）和相关配套人员。</w:t>
      </w:r>
    </w:p>
    <w:p w14:paraId="011A4EB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决策委员会（赛事组委会成员单位）负责对重大事件的商讨决议，由赛事总指挥、副总指挥、医疗指挥、安防指挥、救援指挥、总裁判长等。配套相关人员负责一些具体事务的工作，有记录员、车辆调度员、中继值守员、裁判管理员等。</w:t>
      </w:r>
    </w:p>
    <w:p w14:paraId="1ECC7B6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3.赛事总指挥负责全面指挥调度安保、应急、救援资源。</w:t>
      </w:r>
    </w:p>
    <w:p w14:paraId="37C192F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4.赛事副总指挥配合总指挥相关工作，监听和处理公用应急中继频道相关信息，在总指挥不在的情况下代总指挥指挥调度工作。</w:t>
      </w:r>
    </w:p>
    <w:p w14:paraId="7CB59A1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5.记录员负责指挥中心记录、分析和筛选信息。</w:t>
      </w:r>
    </w:p>
    <w:p w14:paraId="21B3E41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6.车辆调度员负责管理、记录赛事车辆按照既定计划实施中继值守员负责监听队员呼救和传达决策委员会（赛事组委会成员单位）指令。</w:t>
      </w:r>
    </w:p>
    <w:p w14:paraId="1FB2079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（八）预案与演练</w:t>
      </w:r>
    </w:p>
    <w:p w14:paraId="4413B95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1.现场发生爆炸预案：</w:t>
      </w:r>
    </w:p>
    <w:p w14:paraId="5C0B3FD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赛事前安保人员应做好危险排查工作，安保人员和工作人员把好第一关，对入场观众携带物品进行严格的检查，对可疑的人员重点防范。在爆炸事件发生后，安保人员应立即向公安部门、医疗救护部门报告，向现场应急指挥部报告并通知现场医疗处置组到位。安保人员应迅速开启出入口，按照应急疏散方案就近疏散人员。指定专人到路口引导120急救车到现场对受伤人员进行急救。在进行救护时，要注意尽量减少对现场的破坏。广播人员：协助应急指挥部，稳定现场观众情绪，指示现场观众按紧急出口路线逃生。对重点救护区：加派人员疏导，服从应急指挥部的调度，衔接好现场救护人员的工作，对困在赛事现场内无法转移的人员迅速向消防支队及公安部门报告。</w:t>
      </w:r>
    </w:p>
    <w:p w14:paraId="43ED240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2.踩踏事件应急措施：</w:t>
      </w:r>
    </w:p>
    <w:p w14:paraId="09F3650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发生事故后，目击者要立即向领导小组反映，领导小组立即启动应急预案，所有成员必须立即赶赴现场组织抢救。同时，迅速拨打电话报警并向上级主管部门报告，请求援助。报告应该包括以下信息：事故发生的时间与地点、种类、程度、危害；已采取和准备采取的应急行动。</w:t>
      </w:r>
    </w:p>
    <w:p w14:paraId="07AC9A2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（2）发生事故后，领导小组按以下原则组织参赛人员进行紧急疏散：</w:t>
      </w:r>
    </w:p>
    <w:p w14:paraId="3D43FF6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（3）发生突发事件后立即吹哨报警，安全领导小组迅速组织参赛人员和观众疏散逃生。</w:t>
      </w:r>
    </w:p>
    <w:p w14:paraId="35F7200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（4）具体疏散工作安排：</w:t>
      </w:r>
    </w:p>
    <w:p w14:paraId="7BDFA23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①赛事进行时间由组委会负责指挥参赛人员疏散，比赛前时间由组委会安全负责人员负责指挥参赛人员、工作人员、观众疏散；</w:t>
      </w:r>
    </w:p>
    <w:p w14:paraId="04C786C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②设计疏散路线；</w:t>
      </w:r>
    </w:p>
    <w:p w14:paraId="7E264EE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③起终点公安带领安保人员负责进行疏散工作；</w:t>
      </w:r>
    </w:p>
    <w:p w14:paraId="0024022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④主会场指挥：主会场组委会工作人员配合主会场安保人员；</w:t>
      </w:r>
    </w:p>
    <w:p w14:paraId="22E5089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⑤紧急疏散后集中地点：就近应急避难场所。</w:t>
      </w:r>
    </w:p>
    <w:p w14:paraId="3A59459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（九）疏散计划</w:t>
      </w:r>
    </w:p>
    <w:p w14:paraId="3F1665D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1.在</w:t>
      </w:r>
      <w:r>
        <w:rPr>
          <w:rFonts w:hint="default" w:ascii="仿宋" w:hAnsi="仿宋" w:eastAsia="仿宋" w:cs="仿宋"/>
          <w:color w:val="auto"/>
          <w:sz w:val="32"/>
          <w:szCs w:val="32"/>
          <w:lang w:val="en-US" w:eastAsia="zh-CN"/>
        </w:rPr>
        <w:t>听到组委会发出的警报声后，全部参赛人员、参会嘉宾、观众立即快速、安</w:t>
      </w:r>
      <w:r>
        <w:rPr>
          <w:rFonts w:hint="eastAsia" w:ascii="仿宋" w:hAnsi="仿宋" w:eastAsia="仿宋" w:cs="仿宋"/>
          <w:color w:val="auto"/>
          <w:sz w:val="32"/>
          <w:szCs w:val="32"/>
          <w:lang w:val="en-US" w:eastAsia="zh-CN"/>
        </w:rPr>
        <w:t>全地</w:t>
      </w:r>
      <w:r>
        <w:rPr>
          <w:rFonts w:hint="default" w:ascii="仿宋" w:hAnsi="仿宋" w:eastAsia="仿宋" w:cs="仿宋"/>
          <w:color w:val="auto"/>
          <w:sz w:val="32"/>
          <w:szCs w:val="32"/>
          <w:lang w:val="en-US" w:eastAsia="zh-CN"/>
        </w:rPr>
        <w:t>进行疏散，不能再收拾物品。</w:t>
      </w:r>
    </w:p>
    <w:p w14:paraId="7268745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疏散集合地点：全部人</w:t>
      </w:r>
      <w:bookmarkStart w:id="0" w:name="_GoBack"/>
      <w:r>
        <w:rPr>
          <w:rFonts w:hint="default" w:ascii="仿宋" w:hAnsi="仿宋" w:eastAsia="仿宋" w:cs="仿宋"/>
          <w:color w:val="auto"/>
          <w:sz w:val="32"/>
          <w:szCs w:val="32"/>
          <w:lang w:val="en-US" w:eastAsia="zh-CN"/>
        </w:rPr>
        <w:t>员</w:t>
      </w:r>
      <w:bookmarkEnd w:id="0"/>
      <w:r>
        <w:rPr>
          <w:rFonts w:hint="default" w:ascii="仿宋" w:hAnsi="仿宋" w:eastAsia="仿宋" w:cs="仿宋"/>
          <w:color w:val="auto"/>
          <w:sz w:val="32"/>
          <w:szCs w:val="32"/>
          <w:lang w:val="en-US" w:eastAsia="zh-CN"/>
        </w:rPr>
        <w:t>就近应急避难场所集中。</w:t>
      </w:r>
    </w:p>
    <w:p w14:paraId="51C268C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疏散顺序：组委会指挥全部人员按计划安排依次快速、安全行走，不能过度拥挤，以免发生拥挤踩踏事故。</w:t>
      </w:r>
    </w:p>
    <w:p w14:paraId="5D998D4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疏散过程中如果发生意外伤害，首先进行简单救助，为伤员包扎伤口，然后安排专人进行护理并送到医院救治。</w:t>
      </w:r>
    </w:p>
    <w:p w14:paraId="797DDFA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（十）极端天气状况的应对</w:t>
      </w:r>
    </w:p>
    <w:p w14:paraId="495F083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活动前期充分准备。健身走跑大赛是对天气条件较为依赖的一种户外大型运动赛事。为保证比赛的顺利进行及参赛运动员人身安全，赛事组委会会提前了解赛事高影响天气及特征，进行气候条件分析，做好相关气象保障服务的基本要求。制定气象保障服务方案，合理分工并细化各岗位职责。</w:t>
      </w:r>
    </w:p>
    <w:p w14:paraId="5C2372C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通知参赛运动员。比赛前2天，以短信通知的方式</w:t>
      </w:r>
      <w:r>
        <w:rPr>
          <w:rFonts w:hint="eastAsia" w:ascii="仿宋" w:hAnsi="仿宋" w:eastAsia="仿宋" w:cs="仿宋"/>
          <w:color w:val="auto"/>
          <w:sz w:val="32"/>
          <w:szCs w:val="32"/>
          <w:lang w:val="en-US" w:eastAsia="zh-CN"/>
        </w:rPr>
        <w:t>提前向选手</w:t>
      </w:r>
      <w:r>
        <w:rPr>
          <w:rFonts w:hint="default" w:ascii="仿宋" w:hAnsi="仿宋" w:eastAsia="仿宋" w:cs="仿宋"/>
          <w:color w:val="auto"/>
          <w:sz w:val="32"/>
          <w:szCs w:val="32"/>
          <w:lang w:val="en-US" w:eastAsia="zh-CN"/>
        </w:rPr>
        <w:t>天气，提醒选手根据天气准备好穿戴的衣物。</w:t>
      </w:r>
    </w:p>
    <w:p w14:paraId="7F3846A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赛道沿途增加警示牌提醒，对赛道中可能出现事故的路口、河边、乡村小路等危险地段增设安全保障人员或志愿者。并要留意赛道可能出现山体滑坡的情况。</w:t>
      </w:r>
    </w:p>
    <w:p w14:paraId="0E4EE98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赛事组委会会提前为运动员准备充足的雨衣、降暑药品，并发放给赛道志愿者或安全保障人员。对完赛运动员发放一次性毛巾，避免出现感冒情况，保障参赛运动员的安全，确保赛事顺利进行。</w:t>
      </w:r>
    </w:p>
    <w:p w14:paraId="03BA07A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如遇恶劣天气，如：暴雨、下冰雹等情况，及时停止赛事，安全有序地疏散人群。</w:t>
      </w:r>
    </w:p>
    <w:p w14:paraId="12D24D0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四、熔断机制</w:t>
      </w:r>
    </w:p>
    <w:p w14:paraId="0DC998A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根据《中华人民共和国突发事件应对法</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国家体育总局关于进一步加强体育赛事活动安全监管服务的意见</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国家体育总局关于建立健全体育赛事活动“熔断”机制的通知》，按照属地管理原则，做好体育赛事活动突发事件的应对工作，建立健全体育赛事活动“熔断”机制。</w:t>
      </w:r>
    </w:p>
    <w:p w14:paraId="32ED1B6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（一）启动条件</w:t>
      </w:r>
    </w:p>
    <w:p w14:paraId="1EBA894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参与人数较多、人身危险性较高或专业技术性较强的体育赛事活动，遇有以下直接或可能与体育赛事活动举办相关联的突发情形之一的，体育赛事活动组织者应当启动“熔断”机制：</w:t>
      </w:r>
    </w:p>
    <w:p w14:paraId="5F46428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1.自然灾害，包括水旱灾害、气象灾害、地震灾害、地质灾害、海洋灾害、生物灾害和森林草原火灾等；</w:t>
      </w:r>
    </w:p>
    <w:p w14:paraId="3F2B579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2.事故灾难，包括各类安全事故、交通运输事故、公共体育设施和设备事故、环境污染和生态破坏事件等；</w:t>
      </w:r>
    </w:p>
    <w:p w14:paraId="583C47E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3.公共卫生事件，包括传染病疫情、群体性不明原因疾病、食品安全和职业危害、动物疫情以及其他严重影响公众健康和生命安全的事件；</w:t>
      </w:r>
    </w:p>
    <w:p w14:paraId="57A99DD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4.社会安全事件，包括恐怖袭击事件、经济安全事件和涉外突发事件等；</w:t>
      </w:r>
    </w:p>
    <w:p w14:paraId="243DBE0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5.其他可能导致不再具备办赛条件的情形。</w:t>
      </w:r>
    </w:p>
    <w:p w14:paraId="491A19D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（二）信息上报制度</w:t>
      </w:r>
    </w:p>
    <w:p w14:paraId="0BC424B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密切关注气象、水利、地震、自然资源、交通运输、卫生健康、应急管理等部门发出的预警信息及有关灾害、事故信息，加强防范，及时启动“熔断”机制。</w:t>
      </w:r>
    </w:p>
    <w:p w14:paraId="7B4FD39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1.赛事活动举办期间出现上述所列任一情形的，要结合实际情况，及时提出启动“熔断”机制建议，现场组织者应当立即</w:t>
      </w:r>
      <w:r>
        <w:rPr>
          <w:rFonts w:hint="eastAsia" w:ascii="仿宋" w:hAnsi="仿宋" w:eastAsia="仿宋" w:cs="仿宋"/>
          <w:color w:val="auto"/>
          <w:sz w:val="32"/>
          <w:szCs w:val="32"/>
          <w:lang w:val="en-US" w:eastAsia="zh-CN"/>
        </w:rPr>
        <w:t>作出</w:t>
      </w:r>
      <w:r>
        <w:rPr>
          <w:rFonts w:hint="default" w:ascii="仿宋" w:hAnsi="仿宋" w:eastAsia="仿宋" w:cs="仿宋"/>
          <w:color w:val="auto"/>
          <w:sz w:val="32"/>
          <w:szCs w:val="32"/>
          <w:lang w:val="en-US" w:eastAsia="zh-CN"/>
        </w:rPr>
        <w:t>是否中止比赛的决定。</w:t>
      </w:r>
    </w:p>
    <w:p w14:paraId="38DD702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.现场组织者、</w:t>
      </w:r>
      <w:r>
        <w:rPr>
          <w:rFonts w:hint="eastAsia" w:ascii="仿宋" w:hAnsi="仿宋" w:eastAsia="仿宋" w:cs="仿宋"/>
          <w:color w:val="auto"/>
          <w:sz w:val="32"/>
          <w:szCs w:val="32"/>
          <w:lang w:val="en-US" w:eastAsia="zh-CN"/>
        </w:rPr>
        <w:t>办赛地体育主管部门</w:t>
      </w:r>
      <w:r>
        <w:rPr>
          <w:rFonts w:hint="default" w:ascii="仿宋" w:hAnsi="仿宋" w:eastAsia="仿宋" w:cs="仿宋"/>
          <w:color w:val="auto"/>
          <w:sz w:val="32"/>
          <w:szCs w:val="32"/>
          <w:lang w:val="en-US" w:eastAsia="zh-CN"/>
        </w:rPr>
        <w:t>应自觉接受社会监督，接到有关体育赛事活动存在风险隐患的群众反映后，应迅速了解情况展开研判，及时做出是否中止比赛的决定。</w:t>
      </w:r>
    </w:p>
    <w:p w14:paraId="7BCE8EA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（三）运行程序</w:t>
      </w:r>
    </w:p>
    <w:p w14:paraId="1B5DD41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启动“熔断”机制后，赛事活动组织者应当根据体育赛事活动场地、规模、环境等特点和条件，适时在应急指挥部的领导下，会同公安、卫生健康、应急管理、市场监管等部门做好应急处置工作，疏散、撤离并妥善安置和救助现场人员。出现人员伤亡的，应立即组织救援和救治，做好后续处置工作，并采取措施防范次生灾害和衍生事件发生。要及时通过官方途径发布赛事活动动态信息，做好舆情引导。</w:t>
      </w:r>
    </w:p>
    <w:p w14:paraId="5613C9C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（四）管理指挥体系</w:t>
      </w:r>
    </w:p>
    <w:p w14:paraId="04FEA61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.现场组织者犹豫不决或拒不采纳启动“熔断”机制建议的，竞赛组织工作负责人或技术代表有权直接向办赛地体育主管部门报告。接到报告后，体育主管部门报告应当立即做出是否中止比赛的决定。</w:t>
      </w:r>
    </w:p>
    <w:p w14:paraId="5FE5E94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应当立即向办赛地人民政府报告，并提出启动“熔断”机制的建议。现场组织者在人民政府做出中止比赛的决定后，应第一时间中止比赛。紧急情况下，现场组织者或体育主管部门应当即时启动“熔断”机制，并及时向人民政府报告。</w:t>
      </w:r>
    </w:p>
    <w:p w14:paraId="11B6DE8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（五）处置措施</w:t>
      </w:r>
    </w:p>
    <w:p w14:paraId="3DF24AC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因“熔断”机制启动中断的比赛需复赛或取消比赛，按照分级管理原则报区体育局批准。</w:t>
      </w:r>
    </w:p>
    <w:p w14:paraId="384F444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（六）法律后果</w:t>
      </w:r>
    </w:p>
    <w:p w14:paraId="6E45FB2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已经决定中止比赛，现场组织者拒不执行、借故拖延的，要及时通报公安机关，依法采取相关措施；造成人员伤亡和财产损失的，依法追究赛事活动组织者责任；涉嫌犯罪的，依法移送司法机关处理。</w:t>
      </w:r>
    </w:p>
    <w:p w14:paraId="22AF181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五、新闻宣传与舆情管理</w:t>
      </w:r>
    </w:p>
    <w:p w14:paraId="2E1FACA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（一）新闻宣传渠道与类型</w:t>
      </w:r>
    </w:p>
    <w:p w14:paraId="2C50861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1.中央媒体：中央电视台CCTV-5、国家体育总局官网、</w:t>
      </w:r>
      <w:r>
        <w:rPr>
          <w:rFonts w:hint="eastAsia" w:ascii="仿宋" w:hAnsi="仿宋" w:eastAsia="仿宋" w:cs="仿宋"/>
          <w:color w:val="auto"/>
          <w:sz w:val="32"/>
          <w:szCs w:val="32"/>
          <w:lang w:val="en-US" w:eastAsia="zh-CN"/>
        </w:rPr>
        <w:t>人民网、新华网、</w:t>
      </w:r>
      <w:r>
        <w:rPr>
          <w:rFonts w:hint="default" w:ascii="仿宋" w:hAnsi="仿宋" w:eastAsia="仿宋" w:cs="仿宋"/>
          <w:color w:val="auto"/>
          <w:sz w:val="32"/>
          <w:szCs w:val="32"/>
          <w:lang w:val="en-US" w:eastAsia="zh-CN"/>
        </w:rPr>
        <w:t>中华全国体育总会。</w:t>
      </w:r>
    </w:p>
    <w:p w14:paraId="673F6D8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2.地方媒体：</w:t>
      </w:r>
      <w:r>
        <w:rPr>
          <w:rFonts w:hint="eastAsia" w:ascii="仿宋" w:hAnsi="仿宋" w:eastAsia="仿宋" w:cs="仿宋"/>
          <w:color w:val="auto"/>
          <w:sz w:val="32"/>
          <w:szCs w:val="32"/>
          <w:lang w:val="en-US" w:eastAsia="zh-CN"/>
        </w:rPr>
        <w:t>赛事举办地区省级媒体、市级媒体</w:t>
      </w:r>
      <w:r>
        <w:rPr>
          <w:rFonts w:hint="default" w:ascii="仿宋" w:hAnsi="仿宋" w:eastAsia="仿宋" w:cs="仿宋"/>
          <w:color w:val="auto"/>
          <w:sz w:val="32"/>
          <w:szCs w:val="32"/>
          <w:lang w:val="en-US" w:eastAsia="zh-CN"/>
        </w:rPr>
        <w:t>。</w:t>
      </w:r>
    </w:p>
    <w:p w14:paraId="385432D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3.网络媒体：新浪网新闻</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新浪新闻</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、中华网、新华 在线、体育风云网、体育人生网、体育达人网、体坛资讯网、体育之窗、南方体育网、中国体育周刊、中国体育播报、中国体育信息网、中华体育报、看体育、天天体育网、中国体育快讯、123运动网、中体运动网、中国运动文化网、焦点体育网、新体育网、体坛快讯、环球体育资讯、人民热线网、国际快讯、每日热线网、世界资讯网、城市新闻网、中国热评网、华声晨报、新华快讯、中国都市新闻网、今日热门网、新闻热线网、新闻资讯快报、人民品牌网、百度百家、现代新闻网、滚动新闻网、中国第一新闻网、中国华北网、生活热线网、热点信息圈、当代旅游网、中国旅游热讯、现代新闻网、朝闻天下、速览新闻网、热点聚焦网、华南视野、第一快讯网。</w:t>
      </w:r>
    </w:p>
    <w:p w14:paraId="1DDE4A0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4.网络视频媒体：人民网视频、央视频、中华网视频、腾讯视频、网易视频、搜狐视频、爱奇艺等。</w:t>
      </w:r>
    </w:p>
    <w:p w14:paraId="0683BBB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（二）新闻宣传工作原则、价值观</w:t>
      </w:r>
    </w:p>
    <w:p w14:paraId="4E9769F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依托</w:t>
      </w:r>
      <w:r>
        <w:rPr>
          <w:rFonts w:hint="eastAsia" w:ascii="仿宋" w:hAnsi="仿宋" w:eastAsia="仿宋" w:cs="仿宋"/>
          <w:color w:val="auto"/>
          <w:sz w:val="32"/>
          <w:szCs w:val="32"/>
          <w:lang w:val="en-US" w:eastAsia="zh-CN"/>
        </w:rPr>
        <w:t>办赛城市</w:t>
      </w:r>
      <w:r>
        <w:rPr>
          <w:rFonts w:hint="default" w:ascii="仿宋" w:hAnsi="仿宋" w:eastAsia="仿宋" w:cs="仿宋"/>
          <w:color w:val="auto"/>
          <w:sz w:val="32"/>
          <w:szCs w:val="32"/>
          <w:lang w:val="en-US" w:eastAsia="zh-CN"/>
        </w:rPr>
        <w:t>的历史文化和生态资源，全方位对赛事筹备及活动、城市规划及区域经济建设、品牌打造及美好生活等方面进行宣传报道，创新发展理念，打造国家级全民健身品牌赛事、打造全国体育旅游目的地、打造全国金牌赛道。</w:t>
      </w:r>
    </w:p>
    <w:p w14:paraId="0ABFF69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以赛兴</w:t>
      </w:r>
      <w:r>
        <w:rPr>
          <w:rFonts w:hint="eastAsia" w:ascii="仿宋" w:hAnsi="仿宋" w:eastAsia="仿宋" w:cs="仿宋"/>
          <w:color w:val="auto"/>
          <w:sz w:val="32"/>
          <w:szCs w:val="32"/>
          <w:lang w:val="en-US" w:eastAsia="zh-CN"/>
        </w:rPr>
        <w:t>城</w:t>
      </w:r>
      <w:r>
        <w:rPr>
          <w:rFonts w:hint="default" w:ascii="仿宋" w:hAnsi="仿宋" w:eastAsia="仿宋" w:cs="仿宋"/>
          <w:color w:val="auto"/>
          <w:sz w:val="32"/>
          <w:szCs w:val="32"/>
          <w:lang w:val="en-US" w:eastAsia="zh-CN"/>
        </w:rPr>
        <w:t>、以赛促旅、以旅彰文，促进</w:t>
      </w:r>
      <w:r>
        <w:rPr>
          <w:rFonts w:hint="eastAsia" w:ascii="仿宋" w:hAnsi="仿宋" w:eastAsia="仿宋" w:cs="仿宋"/>
          <w:color w:val="auto"/>
          <w:sz w:val="32"/>
          <w:szCs w:val="32"/>
          <w:lang w:val="en-US" w:eastAsia="zh-CN"/>
        </w:rPr>
        <w:t>办赛城市的</w:t>
      </w:r>
      <w:r>
        <w:rPr>
          <w:rFonts w:hint="default" w:ascii="仿宋" w:hAnsi="仿宋" w:eastAsia="仿宋" w:cs="仿宋"/>
          <w:color w:val="auto"/>
          <w:sz w:val="32"/>
          <w:szCs w:val="32"/>
          <w:lang w:val="en-US" w:eastAsia="zh-CN"/>
        </w:rPr>
        <w:t>“文体商旅”产业协同发展，谱写</w:t>
      </w:r>
      <w:r>
        <w:rPr>
          <w:rFonts w:hint="eastAsia" w:ascii="仿宋" w:hAnsi="仿宋" w:eastAsia="仿宋" w:cs="仿宋"/>
          <w:color w:val="auto"/>
          <w:sz w:val="32"/>
          <w:szCs w:val="32"/>
          <w:lang w:val="en-US" w:eastAsia="zh-CN"/>
        </w:rPr>
        <w:t>城市</w:t>
      </w:r>
      <w:r>
        <w:rPr>
          <w:rFonts w:hint="default" w:ascii="仿宋" w:hAnsi="仿宋" w:eastAsia="仿宋" w:cs="仿宋"/>
          <w:color w:val="auto"/>
          <w:sz w:val="32"/>
          <w:szCs w:val="32"/>
          <w:lang w:val="en-US" w:eastAsia="zh-CN"/>
        </w:rPr>
        <w:t>新时代“文体商旅”事业发展新篇章。</w:t>
      </w:r>
    </w:p>
    <w:p w14:paraId="29D6497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3.依据城市</w:t>
      </w:r>
      <w:r>
        <w:rPr>
          <w:rFonts w:hint="default" w:ascii="仿宋" w:hAnsi="仿宋" w:eastAsia="仿宋" w:cs="仿宋"/>
          <w:color w:val="auto"/>
          <w:sz w:val="32"/>
          <w:szCs w:val="32"/>
          <w:lang w:val="en-US" w:eastAsia="zh-CN"/>
        </w:rPr>
        <w:t>主题，</w:t>
      </w:r>
      <w:r>
        <w:rPr>
          <w:rFonts w:hint="eastAsia" w:ascii="仿宋" w:hAnsi="仿宋" w:eastAsia="仿宋" w:cs="仿宋"/>
          <w:color w:val="auto"/>
          <w:sz w:val="32"/>
          <w:szCs w:val="32"/>
          <w:lang w:val="en-US" w:eastAsia="zh-CN"/>
        </w:rPr>
        <w:t>进行</w:t>
      </w:r>
      <w:r>
        <w:rPr>
          <w:rFonts w:hint="default" w:ascii="仿宋" w:hAnsi="仿宋" w:eastAsia="仿宋" w:cs="仿宋"/>
          <w:color w:val="auto"/>
          <w:sz w:val="32"/>
          <w:szCs w:val="32"/>
          <w:lang w:val="en-US" w:eastAsia="zh-CN"/>
        </w:rPr>
        <w:t>赛前、赛时、赛后全网宣传，为</w:t>
      </w:r>
      <w:r>
        <w:rPr>
          <w:rFonts w:hint="eastAsia" w:ascii="仿宋" w:hAnsi="仿宋" w:eastAsia="仿宋" w:cs="仿宋"/>
          <w:color w:val="auto"/>
          <w:sz w:val="32"/>
          <w:szCs w:val="32"/>
          <w:lang w:val="en-US" w:eastAsia="zh-CN"/>
        </w:rPr>
        <w:t>办事城市的</w:t>
      </w:r>
      <w:r>
        <w:rPr>
          <w:rFonts w:hint="default" w:ascii="仿宋" w:hAnsi="仿宋" w:eastAsia="仿宋" w:cs="仿宋"/>
          <w:color w:val="auto"/>
          <w:sz w:val="32"/>
          <w:szCs w:val="32"/>
          <w:lang w:val="en-US" w:eastAsia="zh-CN"/>
        </w:rPr>
        <w:t>旅游发展、乡村振兴、产业推广全面发展助力。</w:t>
      </w:r>
    </w:p>
    <w:p w14:paraId="1D5D69D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（三）舆情管理工作政策</w:t>
      </w:r>
    </w:p>
    <w:p w14:paraId="71AC173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赛事规范化</w:t>
      </w:r>
    </w:p>
    <w:p w14:paraId="2A20D6D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以规范化办赛，</w:t>
      </w:r>
      <w:r>
        <w:rPr>
          <w:rFonts w:hint="default" w:ascii="仿宋" w:hAnsi="仿宋" w:eastAsia="仿宋" w:cs="仿宋"/>
          <w:color w:val="auto"/>
          <w:sz w:val="32"/>
          <w:szCs w:val="32"/>
          <w:lang w:val="en-US" w:eastAsia="zh-CN"/>
        </w:rPr>
        <w:t>最大程度防止相关的舆情危机事件发生，包括赛事赞助商的严格挑选，参赛人员的资质、体质筛查，工作、医疗保障人员的岗前培训，提高赛事服务能力等等。</w:t>
      </w:r>
    </w:p>
    <w:p w14:paraId="0E0AD22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全方位监测舆论发展</w:t>
      </w:r>
    </w:p>
    <w:p w14:paraId="50D6B26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不论是赛事筹办阶段，还是赛事进行阶段，或者是赛后阶段，都需要对整个围绕赛事讨论的声音展开全方位的监控，及时了解最新的舆论动态，当危机苗头出现时能够第一时间干预引导，避免发酵，及时止损。</w:t>
      </w:r>
    </w:p>
    <w:p w14:paraId="03744D7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借助专业的大数据舆情监控系统平台密切关注重大舆情，及时研判发展态势，以便针对性制定应对预案，积极有效开展舆论引导，努力消除舆论风险点。</w:t>
      </w:r>
    </w:p>
    <w:p w14:paraId="0D5EB3E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确立舆论引导理念与目标，确保参与媒体可全面、迅速、客观地报道，树立一个良好的对外形象</w:t>
      </w:r>
    </w:p>
    <w:p w14:paraId="61FFC48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确立新闻发布制度，主动公开信息。尤其是做好突发事件的舆论危机管理，建立应对机制。</w:t>
      </w:r>
    </w:p>
    <w:p w14:paraId="6F4CF96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可能引发重大网络舆情的突发事件、热点敏感问题，要及时搜集掌握有关真实信息，做好应对处置准备，增强工作前瞻性和时效性</w:t>
      </w:r>
    </w:p>
    <w:p w14:paraId="1A3EE26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default" w:ascii="仿宋" w:hAnsi="仿宋" w:eastAsia="仿宋" w:cs="仿宋"/>
          <w:color w:val="auto"/>
          <w:sz w:val="32"/>
          <w:szCs w:val="32"/>
          <w:lang w:val="en-US" w:eastAsia="zh-CN"/>
        </w:rPr>
        <w:t>发现重大网络舆情后，要按照应急管理规定时限和逐级报告、双重报告等要求，及时将情况报告分管领导、主要领导。同时立即启动应急预案，组建专门工作组，制定并落实应急处置措施，于发现后三小时内以单位或网络新闻发言人的名义跟帖依法依规告知事实真相、事件处置情况或答疑释惑，及时、有效控制事态，正面、有序引导网络舆论。在应急处置过程中，要及时续报有关情况</w:t>
      </w:r>
      <w:r>
        <w:rPr>
          <w:rFonts w:hint="eastAsia" w:ascii="仿宋" w:hAnsi="仿宋" w:eastAsia="仿宋" w:cs="仿宋"/>
          <w:color w:val="auto"/>
          <w:sz w:val="32"/>
          <w:szCs w:val="32"/>
          <w:lang w:val="en-US" w:eastAsia="zh-CN"/>
        </w:rPr>
        <w:t>。</w:t>
      </w:r>
    </w:p>
    <w:p w14:paraId="4312A4A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六、场地设施</w:t>
      </w:r>
    </w:p>
    <w:p w14:paraId="49B94DE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（一）各功能区场地设施要求</w:t>
      </w:r>
    </w:p>
    <w:p w14:paraId="1813AC7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1.赛道设置：</w:t>
      </w:r>
    </w:p>
    <w:p w14:paraId="424D9723">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（1）优先选择健身步道、公园绿道、景区步道或交通影响较小的主干道，并确保路面通畅。起终点之间的海拔落差应控制在合理范围内，尽量满足起终点之间的海拔下降与赛道总距离的比率不超过千分之一。 </w:t>
      </w:r>
    </w:p>
    <w:p w14:paraId="2489E006">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（2）赛事路线应由组委会指定授权单位进行勘测、丈量，确保赛道符合办赛需求。 </w:t>
      </w:r>
    </w:p>
    <w:p w14:paraId="510EBB4D">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3）赛道须每1公里设置1块公里提示牌，在折返、拐弯以及分道路段处设置方向指示牌；计时点需设置明显的“计时”标识；终点前150米，须设置提示牌和运动员（男女或组别）分流指示牌，每个终点要设置醒目的标识；各种标识牌和提示牌要清晰、明显、充足，摆放位置（应在道路显眼地点）及高度（需满足至少2m高）便于运动员识别。 </w:t>
      </w:r>
    </w:p>
    <w:p w14:paraId="1BB9954E">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（4）组委会可根据办赛地实际情况确定赛道，须具备安全隔离条件，确保起点集结区、终点疏散区以及器材设施放置区域空间充足、有序整洁，保障与竞赛执行人员配置齐全。</w:t>
      </w:r>
    </w:p>
    <w:p w14:paraId="51E2813D">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①健身步道：根据健身步道起终点之间的海拔落差和路面宽度，合理控制参赛人数，将安全风险系数降至最低。</w:t>
      </w:r>
    </w:p>
    <w:p w14:paraId="2C7366BD">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②公园绿道：尽最大可能节约公共资源，安全风险系数也可降至最低。</w:t>
      </w:r>
    </w:p>
    <w:p w14:paraId="682821D6">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③景区步道：旅游景区线路选择，应注意勘测路面宽度、海拔以及爬升情况，充分做好安全管理。</w:t>
      </w:r>
    </w:p>
    <w:p w14:paraId="79903BFC">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④城市主干道：应严格按照安全管理条例进行赛事筹备，多方面准备应急措施，把安全风险系数降至最低。</w:t>
      </w:r>
    </w:p>
    <w:p w14:paraId="1B8929F5">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2.主会场设置：</w:t>
      </w:r>
    </w:p>
    <w:p w14:paraId="3446D7D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（1）主会场优先选取具有城市代表性的景区、商圈、街区广场，且会场根据赛事规模，应基于实际参赛人数合理规划场地面积，确保人均活动空间不低于1.5平方米，避免人员过度聚集。</w:t>
      </w:r>
    </w:p>
    <w:p w14:paraId="20DFFC2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主会场需划分明确的功能区域，包括运动员集结区、检录区、起点出发区、嘉宾观礼区、媒体采访区、医疗保障区、物资发放区、休息区及公共卫生间等，各区域需设置清晰的分区标识，便于参赛人员、嘉宾及工作人员快速识别。场地地面需平整、坚实，无明显凸起、凹陷或障碍物，避免因地面问题导致运动员摔倒、受伤；若为户外场地，需提前检查排水系统，防范雨天积水影响赛事开展。</w:t>
      </w:r>
    </w:p>
    <w:p w14:paraId="7DDF7AB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（3）主会场需设置安全隔离围栏，划分出观众区域与赛事区域，防止无关人员进入赛道或核心功能区，保障赛事安全有序进行。</w:t>
      </w:r>
    </w:p>
    <w:p w14:paraId="26F7D70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主会场需配备专用接驳车辆，方便参赛人员、嘉宾及观众往返，周边需预留足够的停车区域，安排专人引导交通，减少对周边交通的影响；场地周边需设置应急通道，确保应急车辆（救护车、消防车等）能够快速通行，保障应急处置工作顺利开展。</w:t>
      </w:r>
    </w:p>
    <w:p w14:paraId="28025A0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（二）各功能区器材配置要求</w:t>
      </w:r>
    </w:p>
    <w:p w14:paraId="17710AE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比赛期间，起终点以及沿线补给站应有专门的安保人员维护秩序；赛道沿线各路口也应有专门的交警人员进行临时交通管制监控，同时应确保在比赛进行期间参赛者通行的赛道区域没有与赛事无关的车辆通行；起终点区域应选择交通便利、适合赛事相应规模的人员聚集和疏散的安办赛地域，制作起终点区域详细布局图桁架，并严格控制可进入出发舞台区域、出发集结区拱门区域的人员。此外，组委会还须制定参赛者和观众的人流疏散方案和安全保障措施，该方案须经当地公安部门认可。 </w:t>
      </w:r>
    </w:p>
    <w:p w14:paraId="7E9396A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color w:val="auto"/>
          <w:spacing w:val="0"/>
          <w:lang w:val="en-US" w:eastAsia="zh-CN"/>
        </w:rPr>
      </w:pPr>
      <w:r>
        <w:rPr>
          <w:rFonts w:hint="eastAsia" w:ascii="仿宋" w:hAnsi="仿宋" w:eastAsia="仿宋" w:cs="仿宋"/>
          <w:color w:val="auto"/>
          <w:spacing w:val="0"/>
          <w:sz w:val="32"/>
          <w:szCs w:val="32"/>
          <w:lang w:val="en-US" w:eastAsia="zh-CN"/>
        </w:rPr>
        <w:t>1.起点区域功能设施：基础设施为出发拱门、集结区检录标识立柱、出发仪式舞台、入场安检口设置、入场通道隔离设施、入场指引标识立牌等，根据赛场特性、文化等因素可增加氛围设施。</w:t>
      </w:r>
    </w:p>
    <w:p w14:paraId="1CE93A1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2.出发：区域内部需满足核心区管理制度，实行区域管理，配置相关入场证件。</w:t>
      </w:r>
    </w:p>
    <w:p w14:paraId="2C9AFF6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3.集结：根据规模与组别分类进行合理测算，并布置封闭式集结区。</w:t>
      </w:r>
    </w:p>
    <w:p w14:paraId="23BAEB3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4.存包：只限10km（含）参赛运动员进行存包，存包内置空间以及服务窗口应根据规模相应设置。</w:t>
      </w:r>
    </w:p>
    <w:p w14:paraId="5D0D165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5.更衣：需根据总体规模以及男女参赛比例设置更衣室。</w:t>
      </w:r>
    </w:p>
    <w:p w14:paraId="0B57C7B9">
      <w:pPr>
        <w:pStyle w:val="7"/>
        <w:keepNext w:val="0"/>
        <w:keepLines w:val="0"/>
        <w:pageBreakBefore w:val="0"/>
        <w:kinsoku/>
        <w:wordWrap/>
        <w:overflowPunct/>
        <w:topLinePunct w:val="0"/>
        <w:bidi w:val="0"/>
        <w:adjustRightInd/>
        <w:snapToGrid/>
        <w:spacing w:after="0" w:line="560" w:lineRule="exact"/>
        <w:ind w:left="0" w:leftChars="0" w:firstLine="640" w:firstLineChars="2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6.医疗（检疫）：至少每2.5km处布置1处医疗点，每1公里有1名巡逻医疗保障人员，起终点应满足转运以及备用准备。根据办赛天气增设防雨、降温或保暖物品。</w:t>
      </w:r>
    </w:p>
    <w:p w14:paraId="6CF54090">
      <w:pPr>
        <w:pStyle w:val="7"/>
        <w:keepNext w:val="0"/>
        <w:keepLines w:val="0"/>
        <w:pageBreakBefore w:val="0"/>
        <w:kinsoku/>
        <w:wordWrap/>
        <w:overflowPunct/>
        <w:topLinePunct w:val="0"/>
        <w:bidi w:val="0"/>
        <w:adjustRightInd/>
        <w:snapToGrid/>
        <w:spacing w:after="0" w:line="560" w:lineRule="exact"/>
        <w:ind w:left="0" w:leftChars="0" w:firstLine="640" w:firstLineChars="2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7.洗手间：赛场及赛道沿线公共卫生间不能满足使用时，需合理增设移动卫生间，满足参赛运动员使用。</w:t>
      </w:r>
    </w:p>
    <w:p w14:paraId="05C1B9D0">
      <w:pPr>
        <w:pStyle w:val="7"/>
        <w:keepNext w:val="0"/>
        <w:keepLines w:val="0"/>
        <w:pageBreakBefore w:val="0"/>
        <w:kinsoku/>
        <w:wordWrap/>
        <w:overflowPunct/>
        <w:topLinePunct w:val="0"/>
        <w:bidi w:val="0"/>
        <w:adjustRightInd/>
        <w:snapToGrid/>
        <w:spacing w:after="0" w:line="560" w:lineRule="exact"/>
        <w:ind w:left="0" w:leftChars="0" w:firstLine="640" w:firstLineChars="200"/>
        <w:textAlignment w:val="auto"/>
        <w:rPr>
          <w:rFonts w:hint="default"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8.垃圾处理：需在起终点与赛道补给站设置充足垃圾桶或垃圾袋。保持赛道与起终点会场干净整洁。</w:t>
      </w:r>
    </w:p>
    <w:p w14:paraId="02863FB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9.终点完赛物资发放：根据规模设置完赛物资领取通道，确保参赛选手能够有秩序领取完赛物品，避免拥挤或踩踏。</w:t>
      </w:r>
    </w:p>
    <w:p w14:paraId="238ED92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（三）运行赛事活动流线的设计</w:t>
      </w:r>
    </w:p>
    <w:p w14:paraId="096E9B9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赛事活动流线设计需遵循“单向循环、分区清晰、高效便捷、安全有序”的原则，结合赛道布局、主会场功能分区及参赛人数，合理规划，避免交叉拥堵，保障赛事全流程顺畅运行。</w:t>
      </w:r>
    </w:p>
    <w:p w14:paraId="7639953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运动员流线需实现“集结—检录—出发—赛道—终点—恢复—离场”全流程单向闭环，无回头路、无交叉干扰。运动员抵达主会场后，经专用入口进入运动员集结区，按组别分区等候；随后由集结区有序进入检录区，完成身份核验、装备检查后，通过专用通道前往起点出发区，按组别依次出发。赛事结束后，运动员从赛道终点进入恢复区，完成放松、补水、成绩查询等流程，再通过专用离场通道离开主会场，避免与入场运动员、观众交叉。流线沿途需设置清晰的指引标识，安排工作人员引导，确保运动员有序通行。</w:t>
      </w:r>
    </w:p>
    <w:p w14:paraId="375926E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（四）赛事器材</w:t>
      </w:r>
    </w:p>
    <w:p w14:paraId="0DAC00D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1.赛道专用器材​</w:t>
      </w:r>
    </w:p>
    <w:p w14:paraId="38F2ABE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是标识类器材，包括公里提示牌、方向指示牌、计时标识、分流指示牌、终点标识等，需按赛道设置要求足额配备，材质选用防水、抗风、醒目耐用的材料，确保户外环境下清晰可辨，摆放牢固、高度达标；二是计时类器材，选用精度达标的电子计时设备，包括计时芯片、计时地毯、计时显示器等，按赛道计时点分布合理布置，安排专人负责调试、维护，确保计时数据准确无误，赛后及时导出、核对成绩；三是安全隔离器材，包括安全围栏、警戒带、防撞桶等，用于赛道隔离、起点集结区及终点疏散区管控，围栏需牢固可靠，防撞桶放置在赛道拐弯、陡坡等关键节点，减少意外碰撞风险；四是补给类器材，包括补水站、能量补给点所需的保温桶、水杯、托盘、垃圾回收桶等，按每2</w:t>
      </w: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公里设置一个补给点的标准配备，确保补给器材干净卫生、数量充足。</w:t>
      </w:r>
    </w:p>
    <w:p w14:paraId="790C33B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2.主会场专用器材​</w:t>
      </w:r>
    </w:p>
    <w:p w14:paraId="3570614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主会场器材结合各功能分区需求配置，兼顾实用性与便捷性。一是仪式类器材，包括主席台、发言台、音响设备、麦克风、LED显示屏等，用于赛事开幕式、闭幕式及颁奖环节，音响设备需覆盖整个主会场，音质清晰无杂音，LED显示屏用于展示赛事信息、计时数据及宣传内容；二是服务类器材，包括物资发放台、休息座椅、</w:t>
      </w:r>
      <w:r>
        <w:rPr>
          <w:rFonts w:hint="eastAsia" w:ascii="仿宋" w:hAnsi="仿宋" w:eastAsia="仿宋" w:cs="仿宋"/>
          <w:color w:val="auto"/>
          <w:sz w:val="32"/>
          <w:szCs w:val="32"/>
          <w:lang w:val="en-US" w:eastAsia="zh-CN"/>
        </w:rPr>
        <w:t>帐篷</w:t>
      </w:r>
      <w:r>
        <w:rPr>
          <w:rFonts w:hint="default" w:ascii="仿宋" w:hAnsi="仿宋" w:eastAsia="仿宋" w:cs="仿宋"/>
          <w:color w:val="auto"/>
          <w:sz w:val="32"/>
          <w:szCs w:val="32"/>
          <w:lang w:val="en-US" w:eastAsia="zh-CN"/>
        </w:rPr>
        <w:t>、公共卫生间临时设施等，按主会场规模及参赛人数合理配备，休息座椅需舒适耐用，</w:t>
      </w:r>
      <w:r>
        <w:rPr>
          <w:rFonts w:hint="eastAsia" w:ascii="仿宋" w:hAnsi="仿宋" w:eastAsia="仿宋" w:cs="仿宋"/>
          <w:color w:val="auto"/>
          <w:sz w:val="32"/>
          <w:szCs w:val="32"/>
          <w:lang w:val="en-US" w:eastAsia="zh-CN"/>
        </w:rPr>
        <w:t>帐篷</w:t>
      </w:r>
      <w:r>
        <w:rPr>
          <w:rFonts w:hint="default" w:ascii="仿宋" w:hAnsi="仿宋" w:eastAsia="仿宋" w:cs="仿宋"/>
          <w:color w:val="auto"/>
          <w:sz w:val="32"/>
          <w:szCs w:val="32"/>
          <w:lang w:val="en-US" w:eastAsia="zh-CN"/>
        </w:rPr>
        <w:t>需牢固抗风，满足参赛人员及工作人员休息需求；三是检录类器材，包括身份核验设备、检录标识、号码布、别针等，用于运动员检录环节，身份核验设备需高效便捷，号码布及别针需足量准备，确保每位参赛人员顺利完成检录</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w:t>
      </w:r>
    </w:p>
    <w:p w14:paraId="16C77F9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3.医疗及应急器材​</w:t>
      </w:r>
    </w:p>
    <w:p w14:paraId="2EA6A5A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医疗及应急器材需全面覆盖赛道及主会场，保障突发情况快速处置。一是医疗急救器材，包括急救箱、担架、除颤仪（AED）、血压计、消毒用品、常用药品（止血药、止痛药、抗过敏药等），每个医疗点配备足额急救器材及专业医护人员；</w:t>
      </w: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是通讯器材，包括对讲机、应急通讯设备等，配备给赛道工作人员、医疗人员、安保人员及指挥人员，确保各岗位</w:t>
      </w:r>
      <w:r>
        <w:rPr>
          <w:rFonts w:hint="eastAsia" w:ascii="仿宋" w:hAnsi="仿宋" w:eastAsia="仿宋" w:cs="仿宋"/>
          <w:color w:val="auto"/>
          <w:sz w:val="32"/>
          <w:szCs w:val="32"/>
          <w:lang w:val="en-US" w:eastAsia="zh-CN"/>
        </w:rPr>
        <w:t>通信畅通</w:t>
      </w:r>
      <w:r>
        <w:rPr>
          <w:rFonts w:hint="default" w:ascii="仿宋" w:hAnsi="仿宋" w:eastAsia="仿宋" w:cs="仿宋"/>
          <w:color w:val="auto"/>
          <w:sz w:val="32"/>
          <w:szCs w:val="32"/>
          <w:lang w:val="en-US" w:eastAsia="zh-CN"/>
        </w:rPr>
        <w:t>，及时传递赛事信息及应急指令。</w:t>
      </w:r>
    </w:p>
    <w:p w14:paraId="24AF390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（五）临时设施</w:t>
      </w:r>
    </w:p>
    <w:p w14:paraId="6D968D4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结合赛事功能需求，重点搭建以下临时设施：</w:t>
      </w: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是运动员休息区、拉伸区，搭建临时遮阳（雨）棚，配备休息座椅、拉伸垫、饮水设备等，为运动员提供赛前热身、赛后恢复的场地；</w:t>
      </w: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是物资储存区，搭建临时仓储棚，用于存放参赛物资、赛事器材、医疗用品等，做好防潮、防盗、防火措施，安排专人值守；</w:t>
      </w:r>
      <w:r>
        <w:rPr>
          <w:rFonts w:hint="eastAsia" w:ascii="仿宋" w:hAnsi="仿宋" w:eastAsia="仿宋" w:cs="仿宋"/>
          <w:color w:val="auto"/>
          <w:sz w:val="32"/>
          <w:szCs w:val="32"/>
          <w:lang w:val="en-US" w:eastAsia="zh-CN"/>
        </w:rPr>
        <w:t>三</w:t>
      </w:r>
      <w:r>
        <w:rPr>
          <w:rFonts w:hint="default" w:ascii="仿宋" w:hAnsi="仿宋" w:eastAsia="仿宋" w:cs="仿宋"/>
          <w:color w:val="auto"/>
          <w:sz w:val="32"/>
          <w:szCs w:val="32"/>
          <w:lang w:val="en-US" w:eastAsia="zh-CN"/>
        </w:rPr>
        <w:t>是临时卫生间、</w:t>
      </w:r>
      <w:r>
        <w:rPr>
          <w:rFonts w:hint="eastAsia" w:ascii="仿宋" w:hAnsi="仿宋" w:eastAsia="仿宋" w:cs="仿宋"/>
          <w:color w:val="auto"/>
          <w:sz w:val="32"/>
          <w:szCs w:val="32"/>
          <w:lang w:val="en-US" w:eastAsia="zh-CN"/>
        </w:rPr>
        <w:t>更衣间</w:t>
      </w:r>
      <w:r>
        <w:rPr>
          <w:rFonts w:hint="default" w:ascii="仿宋" w:hAnsi="仿宋" w:eastAsia="仿宋" w:cs="仿宋"/>
          <w:color w:val="auto"/>
          <w:sz w:val="32"/>
          <w:szCs w:val="32"/>
          <w:lang w:val="en-US" w:eastAsia="zh-CN"/>
        </w:rPr>
        <w:t>，针对户外赛事或场地原有设施不足的情况，搭建移动卫生间，安排专人清洁维护；</w:t>
      </w:r>
      <w:r>
        <w:rPr>
          <w:rFonts w:hint="eastAsia" w:ascii="仿宋" w:hAnsi="仿宋" w:eastAsia="仿宋" w:cs="仿宋"/>
          <w:color w:val="auto"/>
          <w:sz w:val="32"/>
          <w:szCs w:val="32"/>
          <w:lang w:val="en-US" w:eastAsia="zh-CN"/>
        </w:rPr>
        <w:t>四</w:t>
      </w:r>
      <w:r>
        <w:rPr>
          <w:rFonts w:hint="default" w:ascii="仿宋" w:hAnsi="仿宋" w:eastAsia="仿宋" w:cs="仿宋"/>
          <w:color w:val="auto"/>
          <w:sz w:val="32"/>
          <w:szCs w:val="32"/>
          <w:lang w:val="en-US" w:eastAsia="zh-CN"/>
        </w:rPr>
        <w:t>是临时餐饮区（若有），搭建临时餐饮棚，严格遵循食品卫生规范，配备冷藏、保温设备，确保餐饮安全。</w:t>
      </w:r>
    </w:p>
    <w:p w14:paraId="2622F7F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（六）安保设施</w:t>
      </w:r>
    </w:p>
    <w:p w14:paraId="517FD6B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是隔离防控设施，在主会场、赛道起点、终点、关键节点及人员密集区域，设置安全围栏、警戒带、防撞桩等，划分安全区域，禁止无关人员、车辆进入核心区域；围栏需牢固可靠，关键区域可设置双层围栏，提升防控等级。</w:t>
      </w: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是身份核验设施，在主会场入口、运动员检录区、嘉宾入口等区域，配备身份核验设备，严格核实入场人员身份，防范无关人员混入。</w:t>
      </w:r>
    </w:p>
    <w:p w14:paraId="48760D3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（七）安监设施</w:t>
      </w:r>
    </w:p>
    <w:p w14:paraId="5A54BEB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针对赛道、主会场场地，配备路面平整度检测仪、边坡稳定性监测设备等，赛前对场地进行全面检测，重点排查路面破损、边坡松动、积水隐患等，对不合格区域及时整改；赛事期间安排专人巡查，监测场地变化，及时处置突发场地安全问题。</w:t>
      </w:r>
    </w:p>
    <w:p w14:paraId="731EE2D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（八）消防设施</w:t>
      </w:r>
    </w:p>
    <w:p w14:paraId="2711FED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在主会场、物资储存区等重点区域，按规范配备灭火器</w:t>
      </w:r>
      <w:r>
        <w:rPr>
          <w:rFonts w:hint="eastAsia" w:ascii="仿宋" w:hAnsi="仿宋" w:eastAsia="仿宋" w:cs="仿宋"/>
          <w:color w:val="auto"/>
          <w:sz w:val="32"/>
          <w:szCs w:val="32"/>
          <w:lang w:val="en-US" w:eastAsia="zh-CN"/>
        </w:rPr>
        <w:t>等</w:t>
      </w:r>
      <w:r>
        <w:rPr>
          <w:rFonts w:hint="default" w:ascii="仿宋" w:hAnsi="仿宋" w:eastAsia="仿宋" w:cs="仿宋"/>
          <w:color w:val="auto"/>
          <w:sz w:val="32"/>
          <w:szCs w:val="32"/>
          <w:lang w:val="en-US" w:eastAsia="zh-CN"/>
        </w:rPr>
        <w:t>消防器材，应对户外火灾隐患</w:t>
      </w:r>
      <w:r>
        <w:rPr>
          <w:rFonts w:hint="eastAsia" w:ascii="仿宋" w:hAnsi="仿宋" w:eastAsia="仿宋" w:cs="仿宋"/>
          <w:color w:val="auto"/>
          <w:sz w:val="32"/>
          <w:szCs w:val="32"/>
          <w:lang w:val="en-US" w:eastAsia="zh-CN"/>
        </w:rPr>
        <w:t>；在</w:t>
      </w:r>
      <w:r>
        <w:rPr>
          <w:rFonts w:hint="default" w:ascii="仿宋" w:hAnsi="仿宋" w:eastAsia="仿宋" w:cs="仿宋"/>
          <w:color w:val="auto"/>
          <w:sz w:val="32"/>
          <w:szCs w:val="32"/>
          <w:lang w:val="en-US" w:eastAsia="zh-CN"/>
        </w:rPr>
        <w:t>临时设施搭建时，需预留消防通道，确保消防车辆、人员能够快速通行，严禁在消防通道内堆放物资、设置障碍物。</w:t>
      </w:r>
    </w:p>
    <w:p w14:paraId="36BD726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（九）电力和照明设施</w:t>
      </w:r>
    </w:p>
    <w:p w14:paraId="12578BD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 电力设施</w:t>
      </w:r>
    </w:p>
    <w:p w14:paraId="7F427CC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一是主供电设施，根据赛事各类设备（音响、LED显示屏、计时设备、医疗设备、临时办公设备等）的总功率，合理配置供电线路、配电箱、变压器等，供电线路需规范铺设，避开人员通行区域、赛道及水源，做好绝缘防护，防止漏电、短路等安全隐患；供电设备需由具备相应资质的电工安装、调试，确保符合安全规范。</w:t>
      </w:r>
      <w:r>
        <w:rPr>
          <w:rFonts w:hint="eastAsia" w:ascii="仿宋" w:hAnsi="仿宋" w:eastAsia="仿宋" w:cs="仿宋"/>
          <w:color w:val="auto"/>
          <w:sz w:val="32"/>
          <w:szCs w:val="32"/>
          <w:lang w:val="en-US" w:eastAsia="zh-CN"/>
        </w:rPr>
        <w:t>二</w:t>
      </w:r>
      <w:r>
        <w:rPr>
          <w:rFonts w:hint="default" w:ascii="仿宋" w:hAnsi="仿宋" w:eastAsia="仿宋" w:cs="仿宋"/>
          <w:color w:val="auto"/>
          <w:sz w:val="32"/>
          <w:szCs w:val="32"/>
          <w:lang w:val="en-US" w:eastAsia="zh-CN"/>
        </w:rPr>
        <w:t>是电力管理，明确专人负责电力设施的巡查、维护，赛前全面检查供电线路、设备运行状态，及时排查漏电、短路等隐患；赛事期间实时监测电力供应情况，发现问题及时处置，避免因电力故障影响赛事进度。</w:t>
      </w:r>
    </w:p>
    <w:p w14:paraId="13B7CE3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 照明设施</w:t>
      </w:r>
    </w:p>
    <w:p w14:paraId="5FF5AD7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照明设施</w:t>
      </w:r>
      <w:r>
        <w:rPr>
          <w:rFonts w:hint="eastAsia" w:ascii="仿宋" w:hAnsi="仿宋" w:eastAsia="仿宋" w:cs="仿宋"/>
          <w:color w:val="auto"/>
          <w:sz w:val="32"/>
          <w:szCs w:val="32"/>
          <w:lang w:val="en-US" w:eastAsia="zh-CN"/>
        </w:rPr>
        <w:t>需</w:t>
      </w:r>
      <w:r>
        <w:rPr>
          <w:rFonts w:hint="default" w:ascii="仿宋" w:hAnsi="仿宋" w:eastAsia="仿宋" w:cs="仿宋"/>
          <w:color w:val="auto"/>
          <w:sz w:val="32"/>
          <w:szCs w:val="32"/>
          <w:lang w:val="en-US" w:eastAsia="zh-CN"/>
        </w:rPr>
        <w:t>满足赛事开展及人员通行需求；夜间</w:t>
      </w:r>
      <w:r>
        <w:rPr>
          <w:rFonts w:hint="eastAsia" w:ascii="仿宋" w:hAnsi="仿宋" w:eastAsia="仿宋" w:cs="仿宋"/>
          <w:color w:val="auto"/>
          <w:sz w:val="32"/>
          <w:szCs w:val="32"/>
          <w:lang w:val="en-US" w:eastAsia="zh-CN"/>
        </w:rPr>
        <w:t>搭建期间</w:t>
      </w:r>
      <w:r>
        <w:rPr>
          <w:rFonts w:hint="default" w:ascii="仿宋" w:hAnsi="仿宋" w:eastAsia="仿宋" w:cs="仿宋"/>
          <w:color w:val="auto"/>
          <w:sz w:val="32"/>
          <w:szCs w:val="32"/>
          <w:lang w:val="en-US" w:eastAsia="zh-CN"/>
        </w:rPr>
        <w:t>需额外配备移动照明设备，应对局部照明不足的情况。</w:t>
      </w:r>
    </w:p>
    <w:p w14:paraId="1E0E914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（十）补给点设置</w:t>
      </w:r>
    </w:p>
    <w:p w14:paraId="26F4407A">
      <w:pPr>
        <w:pStyle w:val="7"/>
        <w:keepNext w:val="0"/>
        <w:keepLines w:val="0"/>
        <w:pageBreakBefore w:val="0"/>
        <w:kinsoku/>
        <w:wordWrap/>
        <w:overflowPunct/>
        <w:topLinePunct w:val="0"/>
        <w:bidi w:val="0"/>
        <w:adjustRightInd/>
        <w:snapToGrid/>
        <w:spacing w:after="0" w:line="560" w:lineRule="exact"/>
        <w:ind w:left="0" w:leftChars="0" w:firstLine="640" w:firstLineChars="200"/>
        <w:textAlignment w:val="auto"/>
        <w:rPr>
          <w:rFonts w:hint="eastAsia" w:ascii="仿宋" w:hAnsi="仿宋" w:eastAsia="仿宋" w:cs="仿宋"/>
          <w:color w:val="auto"/>
          <w:spacing w:val="0"/>
          <w:sz w:val="32"/>
          <w:szCs w:val="32"/>
          <w:lang w:val="en-US" w:eastAsia="zh-CN"/>
        </w:rPr>
      </w:pPr>
      <w:r>
        <w:rPr>
          <w:rFonts w:hint="eastAsia" w:ascii="仿宋" w:hAnsi="仿宋" w:eastAsia="仿宋" w:cs="仿宋"/>
          <w:color w:val="auto"/>
          <w:spacing w:val="0"/>
          <w:sz w:val="32"/>
          <w:szCs w:val="32"/>
          <w:lang w:val="en-US" w:eastAsia="zh-CN"/>
        </w:rPr>
        <w:t>至少每2.5km处设置补给站，提供足够的矿泉水、功能饮料、水果、面包、能量胶等补给。根据办赛天气增设防雨、降温或保暖物品。</w:t>
      </w:r>
    </w:p>
    <w:p w14:paraId="1B099B5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七、体育展示</w:t>
      </w:r>
    </w:p>
    <w:p w14:paraId="7B3C855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（一）现场播报</w:t>
      </w:r>
    </w:p>
    <w:p w14:paraId="084E942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现场播报需遵循“及时准确、简洁专业、氛围适配”的原则，贯穿赛事全流程，兼顾赛事信息传递与现场氛围营造，确保参赛人员、嘉宾及观众清晰了解赛事动态。播报人员</w:t>
      </w:r>
      <w:r>
        <w:rPr>
          <w:rFonts w:hint="eastAsia" w:ascii="仿宋" w:hAnsi="仿宋" w:eastAsia="仿宋" w:cs="仿宋"/>
          <w:color w:val="auto"/>
          <w:sz w:val="32"/>
          <w:szCs w:val="32"/>
          <w:lang w:val="en-US" w:eastAsia="zh-CN"/>
        </w:rPr>
        <w:t>须具备</w:t>
      </w:r>
      <w:r>
        <w:rPr>
          <w:rFonts w:hint="default" w:ascii="仿宋" w:hAnsi="仿宋" w:eastAsia="仿宋" w:cs="仿宋"/>
          <w:color w:val="auto"/>
          <w:sz w:val="32"/>
          <w:szCs w:val="32"/>
          <w:lang w:val="en-US" w:eastAsia="zh-CN"/>
        </w:rPr>
        <w:t>专业素养，语言规范、口齿清晰、语速适中，熟悉赛事流程及相关规则，能够灵活应对赛事突发情况。播报内容重点包括：赛事开场致辞、参赛组别出发通知、成绩实时播报、获奖信息宣布、赛事收尾通知及安全提示等</w:t>
      </w:r>
      <w:r>
        <w:rPr>
          <w:rFonts w:hint="eastAsia" w:ascii="仿宋" w:hAnsi="仿宋" w:eastAsia="仿宋" w:cs="仿宋"/>
          <w:color w:val="auto"/>
          <w:sz w:val="32"/>
          <w:szCs w:val="32"/>
          <w:lang w:val="en-US" w:eastAsia="zh-CN"/>
        </w:rPr>
        <w:t>。</w:t>
      </w:r>
    </w:p>
    <w:p w14:paraId="3E9D79A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（二）现场表演</w:t>
      </w:r>
    </w:p>
    <w:p w14:paraId="488C4B1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现场表演需贴合赛事主题、积极健康、简洁有序，重点用于开幕式、赛事间隙及闭幕式，丰富赛事体验，营造热烈氛围，同时避免影响赛事正常推进。表演形式可结合办赛地文化特色，选用健身操、啦啦操、乐器演奏、民俗表演等适配户外赛事的形式，表演时长控制在合理范围（单场表演不超过</w:t>
      </w: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分钟），避免过长占用赛事时间。表演人员需提前排练，熟悉表演流程及场地布局，确保表演效果</w:t>
      </w:r>
      <w:r>
        <w:rPr>
          <w:rFonts w:hint="eastAsia" w:ascii="仿宋" w:hAnsi="仿宋" w:eastAsia="仿宋" w:cs="仿宋"/>
          <w:color w:val="auto"/>
          <w:sz w:val="32"/>
          <w:szCs w:val="32"/>
          <w:lang w:val="en-US" w:eastAsia="zh-CN"/>
        </w:rPr>
        <w:t>。</w:t>
      </w:r>
    </w:p>
    <w:p w14:paraId="3784798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（三）视频放映要求</w:t>
      </w:r>
    </w:p>
    <w:p w14:paraId="2AA3684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视频放映需服务于赛事宣传、氛围营造及信息传递，适配主会场LED显示屏、户外投影等设备，确保放映效果清晰、流畅，贴合赛事整体调性。放映内容需提前审核，确保内容积极健康、无违规信息，重点包括赛事宣传片、参赛运动员风采片、办赛地文化宣传视频、赛事规则解读视频及安全提示视频等</w:t>
      </w:r>
      <w:r>
        <w:rPr>
          <w:rFonts w:hint="eastAsia" w:ascii="仿宋" w:hAnsi="仿宋" w:eastAsia="仿宋" w:cs="仿宋"/>
          <w:color w:val="auto"/>
          <w:sz w:val="32"/>
          <w:szCs w:val="32"/>
          <w:lang w:val="en-US" w:eastAsia="zh-CN"/>
        </w:rPr>
        <w:t>。</w:t>
      </w:r>
    </w:p>
    <w:p w14:paraId="5ECC3FE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八、启动仪式和颁奖仪式</w:t>
      </w:r>
    </w:p>
    <w:p w14:paraId="2AE25E1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w:t>
      </w:r>
      <w:r>
        <w:rPr>
          <w:rFonts w:hint="default" w:ascii="仿宋" w:hAnsi="仿宋" w:eastAsia="仿宋" w:cs="仿宋"/>
          <w:color w:val="auto"/>
          <w:sz w:val="32"/>
          <w:szCs w:val="32"/>
          <w:lang w:val="en-US" w:eastAsia="zh-CN"/>
        </w:rPr>
        <w:t>各类仪式的人员要求</w:t>
      </w:r>
    </w:p>
    <w:p w14:paraId="4225E06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1.邀请的嘉宾需符合赛事规格，提前确认嘉宾出席情况，做好邀请、接待、引导全流程安排；嘉宾需提前熟悉启动仪式流程，配合完成致辞、启动等环节，着装规范、举止得体。</w:t>
      </w:r>
    </w:p>
    <w:p w14:paraId="39C0033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执行人员配备主持人、礼仪人员、现场引导人员、设备操作人员等，主持人须具备丰富的赛事主持经验，语言流畅、应变能力强，熟悉启动仪式全流程；礼仪人员需经过专业培训，负责嘉宾引导、物料传递等工作，着装统一、礼仪规范。</w:t>
      </w:r>
    </w:p>
    <w:p w14:paraId="6140553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3.引导人员负责嘉宾、工作人员的路线引导，避免人员混乱；设备操作人员负责音响、LED显示屏、启动道具等设备的运行与维护，确保环节衔接顺畅。</w:t>
      </w:r>
    </w:p>
    <w:p w14:paraId="0512751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（二）设施要求</w:t>
      </w:r>
    </w:p>
    <w:p w14:paraId="1FF3BF2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1.仪式主舞台根据嘉宾人数、仪式规模合理搭建主舞台，舞台地面平整、坚实，高度适中；舞台背景贴合赛事主题设计。</w:t>
      </w:r>
    </w:p>
    <w:p w14:paraId="03DFA8D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音响及扩音设备，选用音质清晰、覆盖范围广的音响系统，配备备用麦克风、调音设备，确保嘉宾致辞、主持人播报声音清晰无杂音；赛前对音响设备进行全面调试，安排专人负责设备维护，应对突发设备故障。</w:t>
      </w:r>
    </w:p>
    <w:p w14:paraId="42FECF9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（三）组织要求</w:t>
      </w:r>
    </w:p>
    <w:p w14:paraId="27A6953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1.开赛仪式一般包含出席嘉宾介绍、致辞及开赛发令，尽量控制嘉宾讲话时间。 </w:t>
      </w:r>
    </w:p>
    <w:p w14:paraId="2E04486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2.颁奖仪式可在现场为男女前三或十名安排颁奖，如组委会要求穿着大会提供的统一服装参加颁奖，则须事先征得获奖选手或其代理人的同意，以免发生纠纷。 </w:t>
      </w:r>
    </w:p>
    <w:p w14:paraId="45590BE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九、参与者服务</w:t>
      </w:r>
    </w:p>
    <w:p w14:paraId="7375AE3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（一）观众交通引导</w:t>
      </w:r>
    </w:p>
    <w:p w14:paraId="3A1990B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为优先保障赛事车辆通行，赛事不鼓励观众前往主会场集结观赛，不对观众发布观赛交通指引，并通过官方公众号提前面向大众发布《路线管控通知》。</w:t>
      </w:r>
    </w:p>
    <w:p w14:paraId="21B89EF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（二）观众固定或临时看台服务</w:t>
      </w:r>
    </w:p>
    <w:p w14:paraId="5B808D3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赛事通常不设置</w:t>
      </w:r>
      <w:r>
        <w:rPr>
          <w:rFonts w:hint="default" w:ascii="仿宋" w:hAnsi="仿宋" w:eastAsia="仿宋" w:cs="仿宋"/>
          <w:color w:val="auto"/>
          <w:sz w:val="32"/>
          <w:szCs w:val="32"/>
          <w:lang w:val="en-US" w:eastAsia="zh-CN"/>
        </w:rPr>
        <w:t>观众固定或临时看台</w:t>
      </w:r>
      <w:r>
        <w:rPr>
          <w:rFonts w:hint="eastAsia" w:ascii="仿宋" w:hAnsi="仿宋" w:eastAsia="仿宋" w:cs="仿宋"/>
          <w:color w:val="auto"/>
          <w:sz w:val="32"/>
          <w:szCs w:val="32"/>
          <w:lang w:val="en-US" w:eastAsia="zh-CN"/>
        </w:rPr>
        <w:t>，观众可自行选择赛道沿线隔离区域外，在不影响比赛正常进行的情况下观赛、加油。</w:t>
      </w:r>
    </w:p>
    <w:p w14:paraId="012CFE24">
      <w:pPr>
        <w:keepNext w:val="0"/>
        <w:keepLines w:val="0"/>
        <w:pageBreakBefore w:val="0"/>
        <w:numPr>
          <w:ilvl w:val="0"/>
          <w:numId w:val="1"/>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安检口的安检协查</w:t>
      </w:r>
    </w:p>
    <w:p w14:paraId="631FDC55">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安检协查工作需严格遵循“安全第一、高效便捷”的原则，配合安保人员做好入场人员的安检工作，防范危险物品入场，保障赛事安全，不对普通观众开放。</w:t>
      </w:r>
    </w:p>
    <w:p w14:paraId="4D15D80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（四）观众信息咨询</w:t>
      </w:r>
    </w:p>
    <w:p w14:paraId="2E07FF9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在主会场入口、赛道沿线放置赛事直播、相册、官方公众号二维码，现场观众可通过扫码了解赛事信息。</w:t>
      </w:r>
    </w:p>
    <w:p w14:paraId="3F7AD81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（五）检票管理</w:t>
      </w:r>
    </w:p>
    <w:p w14:paraId="7F36B91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赛事以官方发放证件（组委会、工作人员、嘉宾、志愿者、裁判、媒体等）及运动员号码布作为入场凭证，不另外发放票证。</w:t>
      </w:r>
    </w:p>
    <w:p w14:paraId="41E445B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（六）无障碍服务</w:t>
      </w:r>
    </w:p>
    <w:p w14:paraId="1BF3E41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主会场入口、</w:t>
      </w:r>
      <w:r>
        <w:rPr>
          <w:rFonts w:hint="eastAsia" w:ascii="仿宋" w:hAnsi="仿宋" w:eastAsia="仿宋" w:cs="仿宋"/>
          <w:color w:val="auto"/>
          <w:sz w:val="32"/>
          <w:szCs w:val="32"/>
          <w:lang w:val="en-US" w:eastAsia="zh-CN"/>
        </w:rPr>
        <w:t>检录区</w:t>
      </w:r>
      <w:r>
        <w:rPr>
          <w:rFonts w:hint="default" w:ascii="仿宋" w:hAnsi="仿宋" w:eastAsia="仿宋" w:cs="仿宋"/>
          <w:color w:val="auto"/>
          <w:sz w:val="32"/>
          <w:szCs w:val="32"/>
          <w:lang w:val="en-US" w:eastAsia="zh-CN"/>
        </w:rPr>
        <w:t>、公共卫生间等区域，设置无障碍通道，通道沿途设置明显的无障碍标识。</w:t>
      </w:r>
    </w:p>
    <w:p w14:paraId="1194F1F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安排专人负责无障碍服务，主动为特殊群体提供引导、帮扶服务</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安排专人巡查无障碍设施，及时修复损坏、故障的设施，确保无障碍服务全程可用。</w:t>
      </w:r>
    </w:p>
    <w:p w14:paraId="55CF487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十、礼宾服务</w:t>
      </w:r>
    </w:p>
    <w:p w14:paraId="4665614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（一）嘉宾范围</w:t>
      </w:r>
    </w:p>
    <w:p w14:paraId="4177B53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1.各级相关政府部门负责人、行业主管单位领导；</w:t>
      </w:r>
    </w:p>
    <w:p w14:paraId="70B64DD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2.赛事主办单位、承办单位、协办单位及支持单位负责人；</w:t>
      </w:r>
    </w:p>
    <w:p w14:paraId="6239821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3.特邀嘉宾（如体育界知名人士、行业专家、媒体资深从业者、企业代表等）；</w:t>
      </w:r>
    </w:p>
    <w:p w14:paraId="10673C0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4.获奖运动员代表、参赛队伍领队及核心教练；</w:t>
      </w:r>
    </w:p>
    <w:p w14:paraId="062BE1B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5.其他经组委会确认，需提供礼宾服务的重要人员。</w:t>
      </w:r>
    </w:p>
    <w:p w14:paraId="39767D4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（二）提供嘉宾范围内的礼宾、交通、餐饮、环境清洁、安保措施、技术信息、医疗等具体服务要求。</w:t>
      </w:r>
    </w:p>
    <w:p w14:paraId="7943AD8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配备专属礼宾接待人员，实行“一对一”或“一对多”精准服务，根据嘉宾等级合理配置服务力量。嘉宾抵达前，提前确认嘉宾行程（抵达时间、交通方式、离开时间等），做好接待准备；嘉宾抵达后，礼宾人员主动上前接待，协助携带行李、引导至专属休息区域，全程提供引导服务，包括前往观礼区、致辞区、颁奖区等相关区域，避免嘉宾迷路或受到无关人员干扰。礼仪服务规范统一，见面问候、引导手势、语言表达等符合高端礼宾标准，主动为嘉宾讲解赛事流程、场地布局等相关信息，及时响应嘉宾各类合理需求。赛事期间，安排专人全程跟进嘉宾动态，确保嘉宾参与各项环节顺畅有序；嘉宾离场时，礼宾人员主动送别，协助办理相关离场手续，确保嘉宾顺利返程。</w:t>
      </w:r>
    </w:p>
    <w:p w14:paraId="72A38AC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十一、证件管理</w:t>
      </w:r>
    </w:p>
    <w:p w14:paraId="00B6555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（一）证件管理的服务对象与证件分类</w:t>
      </w:r>
    </w:p>
    <w:p w14:paraId="4A01000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1.服务对象：覆盖赛事所有相关人员，确保证件精准发放、按需使用，具体包括：赛事组委会工作人员</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嘉宾（含各级领导、特邀嘉宾等）、媒体记者、安保人员、医疗人员、后勤服务人员、</w:t>
      </w:r>
      <w:r>
        <w:rPr>
          <w:rFonts w:hint="eastAsia" w:ascii="仿宋" w:hAnsi="仿宋" w:eastAsia="仿宋" w:cs="仿宋"/>
          <w:color w:val="auto"/>
          <w:sz w:val="32"/>
          <w:szCs w:val="32"/>
          <w:lang w:val="en-US" w:eastAsia="zh-CN"/>
        </w:rPr>
        <w:t>赛事直播、赛事摄影</w:t>
      </w:r>
      <w:r>
        <w:rPr>
          <w:rFonts w:hint="default" w:ascii="仿宋" w:hAnsi="仿宋" w:eastAsia="仿宋" w:cs="仿宋"/>
          <w:color w:val="auto"/>
          <w:sz w:val="32"/>
          <w:szCs w:val="32"/>
          <w:lang w:val="en-US" w:eastAsia="zh-CN"/>
        </w:rPr>
        <w:t>及其他经组委会确认需进入赛事相关区域的人员。</w:t>
      </w:r>
    </w:p>
    <w:p w14:paraId="5E05E67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2.证件分类：按使用权限、人员身份实行分类管理，不同类别证件对应不同准入区域及使用范围，严禁混用、转借，具体分类</w:t>
      </w:r>
      <w:r>
        <w:rPr>
          <w:rFonts w:hint="eastAsia" w:ascii="仿宋" w:hAnsi="仿宋" w:eastAsia="仿宋" w:cs="仿宋"/>
          <w:color w:val="auto"/>
          <w:sz w:val="32"/>
          <w:szCs w:val="32"/>
          <w:lang w:val="en-US" w:eastAsia="zh-CN"/>
        </w:rPr>
        <w:t>根据实际赛场实际情况，由组委会在赛前进行划分。</w:t>
      </w:r>
    </w:p>
    <w:p w14:paraId="7786BD9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（二）证件注册管理程序</w:t>
      </w:r>
    </w:p>
    <w:p w14:paraId="6A1DA57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1.申请提交：各相关单位（如媒体单位、合作单位等）需在赛事规定截止日期前，提交证件申请资料，包括申请人员名单、身份信息等，组委会指定专人负责资料接收与初步审核。</w:t>
      </w:r>
    </w:p>
    <w:p w14:paraId="721A0F4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.证件制作：审核通过后，由组委会统一制作证件，证件需包含</w:t>
      </w:r>
      <w:r>
        <w:rPr>
          <w:rFonts w:hint="eastAsia" w:ascii="仿宋" w:hAnsi="仿宋" w:eastAsia="仿宋" w:cs="仿宋"/>
          <w:color w:val="auto"/>
          <w:sz w:val="32"/>
          <w:szCs w:val="32"/>
          <w:lang w:val="en-US" w:eastAsia="zh-CN"/>
        </w:rPr>
        <w:t>活动名称</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证件</w:t>
      </w:r>
      <w:r>
        <w:rPr>
          <w:rFonts w:hint="default" w:ascii="仿宋" w:hAnsi="仿宋" w:eastAsia="仿宋" w:cs="仿宋"/>
          <w:color w:val="auto"/>
          <w:sz w:val="32"/>
          <w:szCs w:val="32"/>
          <w:lang w:val="en-US" w:eastAsia="zh-CN"/>
        </w:rPr>
        <w:t>类别、准入区域等核心信息。</w:t>
      </w:r>
    </w:p>
    <w:p w14:paraId="2FFE686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.集中发放：证件制作完成后，通知各申请单位或个人按指定时间、地点集中领取，核对无误后签字确认，领取人需对证件使用负责，明确使用规范及违规责任。</w:t>
      </w:r>
    </w:p>
    <w:p w14:paraId="746776A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（三）证件区域划分原则</w:t>
      </w:r>
    </w:p>
    <w:p w14:paraId="26CBB6B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证件准入区域与人员身份、岗位职责严格匹配，做到“岗证对应、权责一致”，严禁超权限准入，例如</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普通工作人员</w:t>
      </w:r>
      <w:r>
        <w:rPr>
          <w:rFonts w:hint="eastAsia" w:ascii="仿宋" w:hAnsi="仿宋" w:eastAsia="仿宋" w:cs="仿宋"/>
          <w:color w:val="auto"/>
          <w:sz w:val="32"/>
          <w:szCs w:val="32"/>
          <w:lang w:val="en-US" w:eastAsia="zh-CN"/>
        </w:rPr>
        <w:t>证件</w:t>
      </w:r>
      <w:r>
        <w:rPr>
          <w:rFonts w:hint="default" w:ascii="仿宋" w:hAnsi="仿宋" w:eastAsia="仿宋" w:cs="仿宋"/>
          <w:color w:val="auto"/>
          <w:sz w:val="32"/>
          <w:szCs w:val="32"/>
          <w:lang w:val="en-US" w:eastAsia="zh-CN"/>
        </w:rPr>
        <w:t>不得进入嘉宾专属区域</w:t>
      </w:r>
      <w:r>
        <w:rPr>
          <w:rFonts w:hint="eastAsia" w:ascii="仿宋" w:hAnsi="仿宋" w:eastAsia="仿宋" w:cs="仿宋"/>
          <w:color w:val="auto"/>
          <w:sz w:val="32"/>
          <w:szCs w:val="32"/>
          <w:lang w:val="en-US" w:eastAsia="zh-CN"/>
        </w:rPr>
        <w:t>，嘉宾证件不得进入竞赛区。</w:t>
      </w:r>
    </w:p>
    <w:p w14:paraId="6EA263E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（四）证件挂失补办</w:t>
      </w:r>
    </w:p>
    <w:p w14:paraId="25DFC44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证件持有人发现证件丢失、损毁后，需立即向组委会报告，说明证件类别、持有人信息及丢失/损毁情况</w:t>
      </w:r>
      <w:r>
        <w:rPr>
          <w:rFonts w:hint="eastAsia" w:ascii="仿宋" w:hAnsi="仿宋" w:eastAsia="仿宋" w:cs="仿宋"/>
          <w:color w:val="auto"/>
          <w:sz w:val="32"/>
          <w:szCs w:val="32"/>
          <w:lang w:val="en-US" w:eastAsia="zh-CN"/>
        </w:rPr>
        <w:t>，并</w:t>
      </w:r>
      <w:r>
        <w:rPr>
          <w:rFonts w:hint="default" w:ascii="仿宋" w:hAnsi="仿宋" w:eastAsia="仿宋" w:cs="仿宋"/>
          <w:color w:val="auto"/>
          <w:sz w:val="32"/>
          <w:szCs w:val="32"/>
          <w:lang w:val="en-US" w:eastAsia="zh-CN"/>
        </w:rPr>
        <w:t>提交书面挂失申请，</w:t>
      </w:r>
      <w:r>
        <w:rPr>
          <w:rFonts w:hint="eastAsia" w:ascii="仿宋" w:hAnsi="仿宋" w:eastAsia="仿宋" w:cs="仿宋"/>
          <w:color w:val="auto"/>
          <w:sz w:val="32"/>
          <w:szCs w:val="32"/>
          <w:lang w:val="en-US" w:eastAsia="zh-CN"/>
        </w:rPr>
        <w:t>并由</w:t>
      </w:r>
      <w:r>
        <w:rPr>
          <w:rFonts w:hint="default" w:ascii="仿宋" w:hAnsi="仿宋" w:eastAsia="仿宋" w:cs="仿宋"/>
          <w:color w:val="auto"/>
          <w:sz w:val="32"/>
          <w:szCs w:val="32"/>
          <w:lang w:val="en-US" w:eastAsia="zh-CN"/>
        </w:rPr>
        <w:t>本人签字。</w:t>
      </w:r>
    </w:p>
    <w:p w14:paraId="6D468DD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十二、餐饮服务</w:t>
      </w:r>
    </w:p>
    <w:p w14:paraId="5F07336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（一）餐饮服务对象</w:t>
      </w:r>
    </w:p>
    <w:p w14:paraId="7B8F1F9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具体服务对象包括：</w:t>
      </w: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赛事组委会工作人员、安保人员、医疗人员、</w:t>
      </w:r>
      <w:r>
        <w:rPr>
          <w:rFonts w:hint="eastAsia" w:ascii="仿宋" w:hAnsi="仿宋" w:eastAsia="仿宋" w:cs="仿宋"/>
          <w:color w:val="auto"/>
          <w:sz w:val="32"/>
          <w:szCs w:val="32"/>
          <w:lang w:val="en-US" w:eastAsia="zh-CN"/>
        </w:rPr>
        <w:t>志愿者、其他保障人员</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提供赛事当天早餐包，</w:t>
      </w:r>
      <w:r>
        <w:rPr>
          <w:rFonts w:hint="default" w:ascii="仿宋" w:hAnsi="仿宋" w:eastAsia="仿宋" w:cs="仿宋"/>
          <w:color w:val="auto"/>
          <w:sz w:val="32"/>
          <w:szCs w:val="32"/>
          <w:lang w:val="en-US" w:eastAsia="zh-CN"/>
        </w:rPr>
        <w:t>保障其工作期间能量补给；</w:t>
      </w: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受邀嘉宾，提供</w:t>
      </w:r>
      <w:r>
        <w:rPr>
          <w:rFonts w:hint="eastAsia" w:ascii="仿宋" w:hAnsi="仿宋" w:eastAsia="仿宋" w:cs="仿宋"/>
          <w:color w:val="auto"/>
          <w:sz w:val="32"/>
          <w:szCs w:val="32"/>
          <w:lang w:val="en-US" w:eastAsia="zh-CN"/>
        </w:rPr>
        <w:t>礼宾</w:t>
      </w:r>
      <w:r>
        <w:rPr>
          <w:rFonts w:hint="default" w:ascii="仿宋" w:hAnsi="仿宋" w:eastAsia="仿宋" w:cs="仿宋"/>
          <w:color w:val="auto"/>
          <w:sz w:val="32"/>
          <w:szCs w:val="32"/>
          <w:lang w:val="en-US" w:eastAsia="zh-CN"/>
        </w:rPr>
        <w:t>餐饮服务；</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其他经组委会确认需提供餐饮服务的相关人员</w:t>
      </w:r>
      <w:r>
        <w:rPr>
          <w:rFonts w:hint="eastAsia" w:ascii="仿宋" w:hAnsi="仿宋" w:eastAsia="仿宋" w:cs="仿宋"/>
          <w:color w:val="auto"/>
          <w:sz w:val="32"/>
          <w:szCs w:val="32"/>
          <w:lang w:val="en-US" w:eastAsia="zh-CN"/>
        </w:rPr>
        <w:t>，根据实际情况提供相应规格的餐饮服务</w:t>
      </w:r>
      <w:r>
        <w:rPr>
          <w:rFonts w:hint="default" w:ascii="仿宋" w:hAnsi="仿宋" w:eastAsia="仿宋" w:cs="仿宋"/>
          <w:color w:val="auto"/>
          <w:sz w:val="32"/>
          <w:szCs w:val="32"/>
          <w:lang w:val="en-US" w:eastAsia="zh-CN"/>
        </w:rPr>
        <w:t>。</w:t>
      </w:r>
    </w:p>
    <w:p w14:paraId="41B2DF4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（二）餐饮卫生标准</w:t>
      </w:r>
    </w:p>
    <w:p w14:paraId="6B85A9C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严格遵循《中华人民共和国食品安全法》及相关餐饮卫生规范，建立全流程卫生管控体系，确保餐饮服务全程达标</w:t>
      </w:r>
      <w:r>
        <w:rPr>
          <w:rFonts w:hint="eastAsia" w:ascii="仿宋" w:hAnsi="仿宋" w:eastAsia="仿宋" w:cs="仿宋"/>
          <w:color w:val="auto"/>
          <w:sz w:val="32"/>
          <w:szCs w:val="32"/>
          <w:lang w:val="en-US" w:eastAsia="zh-CN"/>
        </w:rPr>
        <w:t>。</w:t>
      </w:r>
    </w:p>
    <w:p w14:paraId="6D22AC4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（三）供餐时间地点方式</w:t>
      </w:r>
    </w:p>
    <w:p w14:paraId="00C8D56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结合赛事</w:t>
      </w:r>
      <w:r>
        <w:rPr>
          <w:rFonts w:hint="eastAsia" w:ascii="仿宋" w:hAnsi="仿宋" w:eastAsia="仿宋" w:cs="仿宋"/>
          <w:color w:val="auto"/>
          <w:sz w:val="32"/>
          <w:szCs w:val="32"/>
          <w:lang w:val="en-US" w:eastAsia="zh-CN"/>
        </w:rPr>
        <w:t>实际</w:t>
      </w:r>
      <w:r>
        <w:rPr>
          <w:rFonts w:hint="default" w:ascii="仿宋" w:hAnsi="仿宋" w:eastAsia="仿宋" w:cs="仿宋"/>
          <w:color w:val="auto"/>
          <w:sz w:val="32"/>
          <w:szCs w:val="32"/>
          <w:lang w:val="en-US" w:eastAsia="zh-CN"/>
        </w:rPr>
        <w:t>流程、各类人员作息及场地布局，合理规划供餐时间、地点，采用便捷、高效的供餐方式</w:t>
      </w:r>
      <w:r>
        <w:rPr>
          <w:rFonts w:hint="eastAsia" w:ascii="仿宋" w:hAnsi="仿宋" w:eastAsia="仿宋" w:cs="仿宋"/>
          <w:color w:val="auto"/>
          <w:sz w:val="32"/>
          <w:szCs w:val="32"/>
          <w:lang w:val="en-US" w:eastAsia="zh-CN"/>
        </w:rPr>
        <w:t>，确保</w:t>
      </w:r>
      <w:r>
        <w:rPr>
          <w:rFonts w:hint="default" w:ascii="仿宋" w:hAnsi="仿宋" w:eastAsia="仿宋" w:cs="仿宋"/>
          <w:color w:val="auto"/>
          <w:sz w:val="32"/>
          <w:szCs w:val="32"/>
          <w:lang w:val="en-US" w:eastAsia="zh-CN"/>
        </w:rPr>
        <w:t>各类人员按时、便捷用餐</w:t>
      </w:r>
      <w:r>
        <w:rPr>
          <w:rFonts w:hint="eastAsia" w:ascii="仿宋" w:hAnsi="仿宋" w:eastAsia="仿宋" w:cs="仿宋"/>
          <w:color w:val="auto"/>
          <w:sz w:val="32"/>
          <w:szCs w:val="32"/>
          <w:lang w:val="en-US" w:eastAsia="zh-CN"/>
        </w:rPr>
        <w:t>。</w:t>
      </w:r>
    </w:p>
    <w:p w14:paraId="4854CBF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（四）供餐禁忌标准</w:t>
      </w:r>
    </w:p>
    <w:p w14:paraId="2F47352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严禁供应生冷、未煮熟煮透的食品，严禁供应过期、变质、异味食品，严禁供应来源不明、无检验检疫证明的食材；严禁使用有毒、有害、违规添加剂。</w:t>
      </w:r>
    </w:p>
    <w:p w14:paraId="2BAA238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十三、住宿服务</w:t>
      </w:r>
    </w:p>
    <w:p w14:paraId="2A6B4C9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（一）住宿安排的原则</w:t>
      </w:r>
    </w:p>
    <w:p w14:paraId="303FB8C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住宿服务需遵循“安全便捷、舒适卫生、精准适配、服务规范”的原则，结合赛事各类人员的身份、需求及赛事流程，合理规划住宿安排，全面保障参赛人员、嘉宾、工作人员等住宿安全与舒适，为赛事顺利开展提供保障。</w:t>
      </w:r>
    </w:p>
    <w:p w14:paraId="1DF0BD6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（二）安全要求</w:t>
      </w:r>
    </w:p>
    <w:p w14:paraId="2A90796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合作酒店</w:t>
      </w:r>
      <w:r>
        <w:rPr>
          <w:rFonts w:hint="eastAsia" w:ascii="仿宋" w:hAnsi="仿宋" w:eastAsia="仿宋" w:cs="仿宋"/>
          <w:color w:val="auto"/>
          <w:sz w:val="32"/>
          <w:szCs w:val="32"/>
          <w:lang w:val="en-US" w:eastAsia="zh-CN"/>
        </w:rPr>
        <w:t>须具备</w:t>
      </w:r>
      <w:r>
        <w:rPr>
          <w:rFonts w:hint="default" w:ascii="仿宋" w:hAnsi="仿宋" w:eastAsia="仿宋" w:cs="仿宋"/>
          <w:color w:val="auto"/>
          <w:sz w:val="32"/>
          <w:szCs w:val="32"/>
          <w:lang w:val="en-US" w:eastAsia="zh-CN"/>
        </w:rPr>
        <w:t>有效的营业执照、消防验收合格证明、卫生许可证等相关资质，无安全违规记录，赛前由组委会专人实地核查，不合格酒店严禁合作。</w:t>
      </w:r>
    </w:p>
    <w:p w14:paraId="4017D73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酒店房间及公共区域需按规范配备灭火器、消防栓、应急照明、疏散指示标志等消防设施，定期检查维护，确保完好可用；消防通道需保持畅通，无任何障碍物，严禁占用、堵塞，酒店需张贴清晰的疏散路线图，告知住宿人员应急疏散方法。</w:t>
      </w:r>
    </w:p>
    <w:p w14:paraId="10E3618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3.酒店需配备完善的监控设备，实现公共区域全覆盖、无死角，防范盗窃、滋扰等行为</w:t>
      </w:r>
      <w:r>
        <w:rPr>
          <w:rFonts w:hint="eastAsia" w:ascii="仿宋" w:hAnsi="仿宋" w:eastAsia="仿宋" w:cs="仿宋"/>
          <w:color w:val="auto"/>
          <w:sz w:val="32"/>
          <w:szCs w:val="32"/>
          <w:lang w:val="en-US" w:eastAsia="zh-CN"/>
        </w:rPr>
        <w:t>。</w:t>
      </w:r>
    </w:p>
    <w:p w14:paraId="5223A61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（三）卫生条件</w:t>
      </w:r>
    </w:p>
    <w:p w14:paraId="0A2B6DF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住宿房间需每日全面清洁消毒，重点清洁床品、被褥、洗漱用品、卫生间等关键区域，床品、被褥需一客一换、清洗消毒，确保无污渍、无异味、无螨虫；洗漱用品需选用合格产品，一次性用品需确保卫生达标、未过期。</w:t>
      </w:r>
    </w:p>
    <w:p w14:paraId="3B7C31B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（四）基础设施</w:t>
      </w:r>
    </w:p>
    <w:p w14:paraId="7653560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每个住宿房间需</w:t>
      </w:r>
      <w:r>
        <w:rPr>
          <w:rFonts w:hint="eastAsia" w:ascii="仿宋" w:hAnsi="仿宋" w:eastAsia="仿宋" w:cs="仿宋"/>
          <w:color w:val="auto"/>
          <w:sz w:val="32"/>
          <w:szCs w:val="32"/>
          <w:lang w:val="en-US" w:eastAsia="zh-CN"/>
        </w:rPr>
        <w:t>配备</w:t>
      </w:r>
      <w:r>
        <w:rPr>
          <w:rFonts w:hint="default" w:ascii="仿宋" w:hAnsi="仿宋" w:eastAsia="仿宋" w:cs="仿宋"/>
          <w:color w:val="auto"/>
          <w:sz w:val="32"/>
          <w:szCs w:val="32"/>
          <w:lang w:val="en-US" w:eastAsia="zh-CN"/>
        </w:rPr>
        <w:t>床品、桌椅、空调、热水器、洗漱台、卫生间等基本设施，设施完好、运行正常；空调可灵活调节温度，热水器供水稳定、水温适宜，卫生间排水顺畅、无异味；房间内配备充足的照明设备，光线柔和，满足住宿人员休息、办公需求。</w:t>
      </w:r>
    </w:p>
    <w:p w14:paraId="64747C2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（五）交通便利条件</w:t>
      </w:r>
    </w:p>
    <w:p w14:paraId="0EB0B4B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优先选择靠近主会场、赛道起点/终点的酒店，住宿人员往返赛场的通勤时间控制在30分钟以内，减少通勤耗时</w:t>
      </w:r>
      <w:r>
        <w:rPr>
          <w:rFonts w:hint="eastAsia" w:ascii="仿宋" w:hAnsi="仿宋" w:eastAsia="仿宋" w:cs="仿宋"/>
          <w:color w:val="auto"/>
          <w:sz w:val="32"/>
          <w:szCs w:val="32"/>
          <w:lang w:val="en-US" w:eastAsia="zh-CN"/>
        </w:rPr>
        <w:t>。</w:t>
      </w:r>
    </w:p>
    <w:p w14:paraId="219DE9E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十四、交通服务</w:t>
      </w:r>
    </w:p>
    <w:p w14:paraId="2D6C588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（一）车辆需求管理</w:t>
      </w:r>
    </w:p>
    <w:p w14:paraId="2D6DFF2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赛前全面统计赛事各类车辆需求，明确车辆类型、数量、使用时段及用途，建立车辆需求台账，具体包括：嘉宾专属接送车辆、运动员接驳车辆、</w:t>
      </w:r>
      <w:r>
        <w:rPr>
          <w:rFonts w:hint="eastAsia" w:ascii="仿宋" w:hAnsi="仿宋" w:eastAsia="仿宋" w:cs="仿宋"/>
          <w:color w:val="auto"/>
          <w:sz w:val="32"/>
          <w:szCs w:val="32"/>
          <w:lang w:val="en-US" w:eastAsia="zh-CN"/>
        </w:rPr>
        <w:t>赛道计时</w:t>
      </w:r>
      <w:r>
        <w:rPr>
          <w:rFonts w:hint="default" w:ascii="仿宋" w:hAnsi="仿宋" w:eastAsia="仿宋" w:cs="仿宋"/>
          <w:color w:val="auto"/>
          <w:sz w:val="32"/>
          <w:szCs w:val="32"/>
          <w:lang w:val="en-US" w:eastAsia="zh-CN"/>
        </w:rPr>
        <w:t>车辆、医疗急救车辆、应急指挥车辆、物资运输车辆、媒体采访车辆及临时备用车辆等，按需求优先级分类登记，确保需求统计全面、精准。</w:t>
      </w:r>
    </w:p>
    <w:p w14:paraId="24D484C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（二）车辆通行区域</w:t>
      </w:r>
    </w:p>
    <w:p w14:paraId="4143F79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1.核心通行区：包括主会场核心区域、赛道周边应急通道、医疗急救核心区等，仅限医疗急救车辆、应急指挥车辆通行，其他车辆严禁进入。</w:t>
      </w:r>
    </w:p>
    <w:p w14:paraId="7DACE2C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.公共通行区：包括赛事场地周边公共道路、停车场周边道路等，供参赛人员自驾车辆、</w:t>
      </w:r>
      <w:r>
        <w:rPr>
          <w:rFonts w:hint="eastAsia" w:ascii="仿宋" w:hAnsi="仿宋" w:eastAsia="仿宋" w:cs="仿宋"/>
          <w:color w:val="auto"/>
          <w:sz w:val="32"/>
          <w:szCs w:val="32"/>
          <w:lang w:val="en-US" w:eastAsia="zh-CN"/>
        </w:rPr>
        <w:t>摆渡车辆</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普通工作人员</w:t>
      </w:r>
      <w:r>
        <w:rPr>
          <w:rFonts w:hint="default" w:ascii="仿宋" w:hAnsi="仿宋" w:eastAsia="仿宋" w:cs="仿宋"/>
          <w:color w:val="auto"/>
          <w:sz w:val="32"/>
          <w:szCs w:val="32"/>
          <w:lang w:val="en-US" w:eastAsia="zh-CN"/>
        </w:rPr>
        <w:t>车辆通行，车辆需严格遵守交通法规及现场交通指引，按指定路线行驶、停靠，不得占用应急通道、赛事专用通道。</w:t>
      </w:r>
    </w:p>
    <w:p w14:paraId="5B17D49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.禁止通行区：包括赛道比赛区域、主会场、应急通道及其他赛事管控区域，所有车辆（除应急车辆外）严禁进入，设置明显的禁止通行标识及隔离设施，安排安保人员专人值守，杜绝违规通行。</w:t>
      </w:r>
    </w:p>
    <w:p w14:paraId="7E4047F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（三）车辆注册管理</w:t>
      </w:r>
    </w:p>
    <w:p w14:paraId="012AC5A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各相关单位（如组委会、参赛队伍、媒体单位、合作单位等）需在赛事规定截止日期前，提交车辆注册申请，填写车辆注册申请表，提供车辆行驶证、保险凭证、驾驶员驾驶证及从业资格证等相关资料，明确车辆用途、使用时段、通行区域需求，组委会指定专人负责资料接收与初步审核。</w:t>
      </w:r>
    </w:p>
    <w:p w14:paraId="5F57FE1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3.审核通过后，由组委会统一进行车辆注册，为注册车辆发放专用通行证件。</w:t>
      </w:r>
    </w:p>
    <w:p w14:paraId="113C266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.证件发放：通行证件制作完成后，通知各申请单位按指定时间、地点集中领取</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明确使用规范及违规责任，严禁转借、涂改、伪造通行证件。</w:t>
      </w:r>
    </w:p>
    <w:p w14:paraId="6807FC7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（四）车辆停放管理</w:t>
      </w:r>
    </w:p>
    <w:p w14:paraId="2C76AE2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所有注册车辆需按指定停放区域有序停放，按车位线停放整齐，不得压线、占道、占用应急通道，不得在禁止停放区域停车</w:t>
      </w:r>
      <w:r>
        <w:rPr>
          <w:rFonts w:hint="eastAsia" w:ascii="仿宋" w:hAnsi="仿宋" w:eastAsia="仿宋" w:cs="仿宋"/>
          <w:color w:val="auto"/>
          <w:sz w:val="32"/>
          <w:szCs w:val="32"/>
          <w:lang w:val="en-US" w:eastAsia="zh-CN"/>
        </w:rPr>
        <w:t>。</w:t>
      </w:r>
    </w:p>
    <w:p w14:paraId="43C4955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（五）交通运行区域划分</w:t>
      </w:r>
    </w:p>
    <w:p w14:paraId="414C27B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结合赛事场地布局、交通流量及赛事流程，合理划分交通运行区域，明确各区域功能及管控要求，实现交通分流、有序运行</w:t>
      </w:r>
      <w:r>
        <w:rPr>
          <w:rFonts w:hint="eastAsia" w:ascii="仿宋" w:hAnsi="仿宋" w:eastAsia="仿宋" w:cs="仿宋"/>
          <w:color w:val="auto"/>
          <w:sz w:val="32"/>
          <w:szCs w:val="32"/>
          <w:lang w:val="en-US" w:eastAsia="zh-CN"/>
        </w:rPr>
        <w:t>。</w:t>
      </w:r>
    </w:p>
    <w:p w14:paraId="3256998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（六）场馆车辆通行</w:t>
      </w:r>
    </w:p>
    <w:p w14:paraId="0A465F7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进入场馆的车辆需凭组委会统一发放的专用通行证件，经场馆入口安保人员核验（核对车辆信息、通行证件、驾驶员信息）后，方可进入；无通行证件、证件不符或违规使用证件的车辆，严禁进入场馆</w:t>
      </w:r>
      <w:r>
        <w:rPr>
          <w:rFonts w:hint="eastAsia" w:ascii="仿宋" w:hAnsi="仿宋" w:eastAsia="仿宋" w:cs="仿宋"/>
          <w:color w:val="auto"/>
          <w:sz w:val="32"/>
          <w:szCs w:val="32"/>
          <w:lang w:val="en-US" w:eastAsia="zh-CN"/>
        </w:rPr>
        <w:t>。</w:t>
      </w:r>
    </w:p>
    <w:p w14:paraId="223C939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（七）上落客政策</w:t>
      </w:r>
    </w:p>
    <w:p w14:paraId="4C289E2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按车辆类型及人员身份，划分专属上落客区域，具体包括：嘉宾专属上落客区（设置在嘉宾休息区、观礼区附近）、运动员上落客区（设置在运动员集结区、检录区附近）、工作人员上落客区（设置在临时办公区、保障区域附近）</w:t>
      </w:r>
      <w:r>
        <w:rPr>
          <w:rFonts w:hint="eastAsia" w:ascii="仿宋" w:hAnsi="仿宋" w:eastAsia="仿宋" w:cs="仿宋"/>
          <w:color w:val="auto"/>
          <w:sz w:val="32"/>
          <w:szCs w:val="32"/>
          <w:lang w:val="en-US" w:eastAsia="zh-CN"/>
        </w:rPr>
        <w:t>。</w:t>
      </w:r>
    </w:p>
    <w:p w14:paraId="4293E84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十五、医疗卫生服务</w:t>
      </w:r>
    </w:p>
    <w:p w14:paraId="20B75C0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（一）运动员医疗站、观众医疗站、临时医疗点标准</w:t>
      </w:r>
    </w:p>
    <w:p w14:paraId="5FF5C21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结合赛事场地布局、人员分布及赛事特点，科学设置医疗站，</w:t>
      </w:r>
      <w:r>
        <w:rPr>
          <w:rFonts w:hint="eastAsia" w:ascii="仿宋" w:hAnsi="仿宋" w:eastAsia="仿宋" w:cs="仿宋"/>
          <w:color w:val="auto"/>
          <w:sz w:val="32"/>
          <w:szCs w:val="32"/>
          <w:lang w:val="en-US" w:eastAsia="zh-CN"/>
        </w:rPr>
        <w:t>所有医护人员由医疗总指挥统一调度，</w:t>
      </w:r>
      <w:r>
        <w:rPr>
          <w:rFonts w:hint="default" w:ascii="仿宋" w:hAnsi="仿宋" w:eastAsia="仿宋" w:cs="仿宋"/>
          <w:color w:val="auto"/>
          <w:sz w:val="32"/>
          <w:szCs w:val="32"/>
          <w:lang w:val="en-US" w:eastAsia="zh-CN"/>
        </w:rPr>
        <w:t>明确标准，确保护理服务全覆盖、标准化</w:t>
      </w:r>
      <w:r>
        <w:rPr>
          <w:rFonts w:hint="eastAsia" w:ascii="仿宋" w:hAnsi="仿宋" w:eastAsia="仿宋" w:cs="仿宋"/>
          <w:color w:val="auto"/>
          <w:sz w:val="32"/>
          <w:szCs w:val="32"/>
          <w:lang w:val="en-US" w:eastAsia="zh-CN"/>
        </w:rPr>
        <w:t>。</w:t>
      </w:r>
    </w:p>
    <w:p w14:paraId="433A784A">
      <w:pPr>
        <w:keepNext w:val="0"/>
        <w:keepLines w:val="0"/>
        <w:pageBreakBefore w:val="0"/>
        <w:widowControl w:val="0"/>
        <w:kinsoku/>
        <w:wordWrap/>
        <w:overflowPunct/>
        <w:topLinePunct w:val="0"/>
        <w:autoSpaceDE/>
        <w:autoSpaceDN/>
        <w:bidi w:val="0"/>
        <w:adjustRightInd/>
        <w:snapToGrid w:val="0"/>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default" w:ascii="Times New Roman" w:hAnsi="Times New Roman" w:eastAsia="仿宋" w:cs="Times New Roman"/>
          <w:b w:val="0"/>
          <w:bCs w:val="0"/>
          <w:color w:val="auto"/>
          <w:spacing w:val="0"/>
          <w:sz w:val="32"/>
          <w:szCs w:val="32"/>
        </w:rPr>
        <w:t>组织委员会</w:t>
      </w:r>
      <w:r>
        <w:rPr>
          <w:rFonts w:hint="default" w:ascii="Times New Roman" w:hAnsi="Times New Roman" w:eastAsia="仿宋" w:cs="Times New Roman"/>
          <w:b w:val="0"/>
          <w:bCs w:val="0"/>
          <w:color w:val="auto"/>
          <w:spacing w:val="0"/>
          <w:sz w:val="32"/>
          <w:szCs w:val="32"/>
          <w:lang w:val="en-US" w:eastAsia="zh-CN"/>
        </w:rPr>
        <w:t>在赛事</w:t>
      </w:r>
      <w:r>
        <w:rPr>
          <w:rFonts w:hint="default" w:ascii="Times New Roman" w:hAnsi="Times New Roman" w:eastAsia="仿宋" w:cs="Times New Roman"/>
          <w:b w:val="0"/>
          <w:bCs w:val="0"/>
          <w:color w:val="auto"/>
          <w:spacing w:val="0"/>
          <w:sz w:val="32"/>
          <w:szCs w:val="32"/>
        </w:rPr>
        <w:t>起终点和赛道设置了补给点（每5公里处）、饮水站（每2.5公里处）和固定医疗救护点，另设置机动救护车和救援车。</w:t>
      </w:r>
    </w:p>
    <w:p w14:paraId="4232FD0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（二）现场医疗和急救转运服务</w:t>
      </w:r>
    </w:p>
    <w:p w14:paraId="1C810EB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各医疗站、点急救人员应严格遵守赛事纪律，坚守岗位。赛时仪器、设备及时充电，必须处于功能状态，急救药品、耗材等认真清点，用时可随时投入使用。</w:t>
      </w:r>
    </w:p>
    <w:p w14:paraId="6BE9AB2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所有急救人员应熟练掌握心肺复苏流程，熟练掌握车载急救仪器、设备的使用，熟悉各站、点药品器械的配备及使用。</w:t>
      </w:r>
    </w:p>
    <w:p w14:paraId="6EF639E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出现患者猝死病例，迅速</w:t>
      </w:r>
      <w:r>
        <w:rPr>
          <w:rFonts w:hint="eastAsia" w:ascii="仿宋" w:hAnsi="仿宋" w:eastAsia="仿宋" w:cs="仿宋"/>
          <w:color w:val="auto"/>
          <w:sz w:val="32"/>
          <w:szCs w:val="32"/>
          <w:lang w:val="en-US" w:eastAsia="zh-CN"/>
        </w:rPr>
        <w:t>做出</w:t>
      </w:r>
      <w:r>
        <w:rPr>
          <w:rFonts w:hint="default" w:ascii="仿宋" w:hAnsi="仿宋" w:eastAsia="仿宋" w:cs="仿宋"/>
          <w:color w:val="auto"/>
          <w:sz w:val="32"/>
          <w:szCs w:val="32"/>
          <w:lang w:val="en-US" w:eastAsia="zh-CN"/>
        </w:rPr>
        <w:t>准确判断，启动应急预案，通知指挥部寻求增援，现场急救人员立即对患者进行现场心肺复苏。如患者在医疗点进行急救，则离其最近的医疗站的急救车及急救小组（医1、护2、驾1人）立刻到该点增援；如患者在医疗站进行急救，离其最近的医疗点的急救小组（医、护各1人）立刻前往增援；并由指挥部另安排专家到现场进行增援。</w:t>
      </w:r>
    </w:p>
    <w:p w14:paraId="0A48F7E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增援人员到达后，立即根据患者情况采取各项抢救措施。抢救中应注意心、肺、脑复苏，尽早进行电除颤。患者如是在医疗点急救，则需增援的急救车到来，再使用其车载的除颤仪进行除颤。</w:t>
      </w:r>
    </w:p>
    <w:p w14:paraId="3BF2E48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参加抢救的各位人员应注意互相密切配合，有条不紊，严格查对，及时做好各项记录，并认真做好与指挥部的联系、沟通工作。</w:t>
      </w:r>
    </w:p>
    <w:p w14:paraId="2581C13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default" w:ascii="仿宋" w:hAnsi="仿宋" w:eastAsia="仿宋" w:cs="仿宋"/>
          <w:color w:val="auto"/>
          <w:sz w:val="32"/>
          <w:szCs w:val="32"/>
          <w:lang w:val="en-US" w:eastAsia="zh-CN"/>
        </w:rPr>
        <w:t>如需转入医院进一步抢救，则使用该医疗站（或附近医疗站）急救车及急救小组人员进行转运，途中不间断进行抢救。</w:t>
      </w:r>
    </w:p>
    <w:p w14:paraId="64C4525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7.</w:t>
      </w:r>
      <w:r>
        <w:rPr>
          <w:rFonts w:hint="default" w:ascii="仿宋" w:hAnsi="仿宋" w:eastAsia="仿宋" w:cs="仿宋"/>
          <w:color w:val="auto"/>
          <w:sz w:val="32"/>
          <w:szCs w:val="32"/>
          <w:lang w:val="en-US" w:eastAsia="zh-CN"/>
        </w:rPr>
        <w:t>转运途中请交警沿路开道，节省转运时间，以利于患者抢救。</w:t>
      </w:r>
    </w:p>
    <w:p w14:paraId="45EC8CD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8.</w:t>
      </w:r>
      <w:r>
        <w:rPr>
          <w:rFonts w:hint="default" w:ascii="仿宋" w:hAnsi="仿宋" w:eastAsia="仿宋" w:cs="仿宋"/>
          <w:color w:val="auto"/>
          <w:sz w:val="32"/>
          <w:szCs w:val="32"/>
          <w:lang w:val="en-US" w:eastAsia="zh-CN"/>
        </w:rPr>
        <w:t>由指挥部具体安排接诊医院及接诊抢救小组成员，接诊医院提前做好抢救准备。</w:t>
      </w:r>
    </w:p>
    <w:p w14:paraId="4ECFF45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9.</w:t>
      </w:r>
      <w:r>
        <w:rPr>
          <w:rFonts w:hint="default" w:ascii="仿宋" w:hAnsi="仿宋" w:eastAsia="仿宋" w:cs="仿宋"/>
          <w:color w:val="auto"/>
          <w:sz w:val="32"/>
          <w:szCs w:val="32"/>
          <w:lang w:val="en-US" w:eastAsia="zh-CN"/>
        </w:rPr>
        <w:t>如现场抢救无效死亡，汇报指挥部，由指挥部安排进行善后处置。</w:t>
      </w:r>
    </w:p>
    <w:p w14:paraId="0D80BE5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10.</w:t>
      </w:r>
      <w:r>
        <w:rPr>
          <w:rFonts w:hint="default" w:ascii="仿宋" w:hAnsi="仿宋" w:eastAsia="仿宋" w:cs="仿宋"/>
          <w:color w:val="auto"/>
          <w:sz w:val="32"/>
          <w:szCs w:val="32"/>
          <w:lang w:val="en-US" w:eastAsia="zh-CN"/>
        </w:rPr>
        <w:t>赛道每100—200米一名志愿者，出现事故志愿者救援最长距离为200米，各救护人员发现事故，用最短的时间让患者得到最及时救助。</w:t>
      </w:r>
    </w:p>
    <w:p w14:paraId="10CB390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（三）食品卫生监督监测</w:t>
      </w:r>
    </w:p>
    <w:p w14:paraId="13BD09F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1.监督监测范围：覆盖所有赛事供餐单位（含主会场餐饮区、嘉宾专属餐饮区及赛道补给点），涵盖食材采购、储存、加工、烹饪、备餐、供餐全流程，以及餐饮从业人员、加工场地、餐具饮具等关键环节。</w:t>
      </w:r>
    </w:p>
    <w:p w14:paraId="1319D07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2.监督监测内容：</w:t>
      </w: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食材监督监测，严禁使用不合格食材；</w:t>
      </w: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加工过程监督，检查餐饮加工场地卫生、加工流程规范情况，重点核查食材清洗消毒、生熟分开、加热熟透等环节，杜绝交叉污染；</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从业人员监督，检查餐饮从业人员健康证、个人卫生情况，严禁无健康证、身体不适人员上岗。</w:t>
      </w:r>
    </w:p>
    <w:p w14:paraId="39D1036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（四）公共场所卫生监督监测</w:t>
      </w:r>
    </w:p>
    <w:p w14:paraId="2792B64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监督监测范围：包括主会场、赛道周边公共区域、临时办公区、运动员</w:t>
      </w:r>
      <w:r>
        <w:rPr>
          <w:rFonts w:hint="eastAsia" w:ascii="仿宋" w:hAnsi="仿宋" w:eastAsia="仿宋" w:cs="仿宋"/>
          <w:color w:val="auto"/>
          <w:sz w:val="32"/>
          <w:szCs w:val="32"/>
          <w:lang w:val="en-US" w:eastAsia="zh-CN"/>
        </w:rPr>
        <w:t>完赛区</w:t>
      </w:r>
      <w:r>
        <w:rPr>
          <w:rFonts w:hint="default" w:ascii="仿宋" w:hAnsi="仿宋" w:eastAsia="仿宋" w:cs="仿宋"/>
          <w:color w:val="auto"/>
          <w:sz w:val="32"/>
          <w:szCs w:val="32"/>
          <w:lang w:val="en-US" w:eastAsia="zh-CN"/>
        </w:rPr>
        <w:t>、嘉宾休息区、公共卫生间等所有赛事相关公共场所。</w:t>
      </w:r>
    </w:p>
    <w:p w14:paraId="1CE48D9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2.赛前对所有公共场所进行全面卫生排查，清理卫生隐患，确保符合卫生标准。</w:t>
      </w:r>
    </w:p>
    <w:p w14:paraId="4A91C95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（五）饮用水卫生监督监测</w:t>
      </w:r>
    </w:p>
    <w:p w14:paraId="4526AC8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监督监测范围：覆盖赛事所有饮用水供应点，包括主会场饮用水补给点、赛道补给点、运动员</w:t>
      </w:r>
      <w:r>
        <w:rPr>
          <w:rFonts w:hint="eastAsia" w:ascii="仿宋" w:hAnsi="仿宋" w:eastAsia="仿宋" w:cs="仿宋"/>
          <w:color w:val="auto"/>
          <w:sz w:val="32"/>
          <w:szCs w:val="32"/>
          <w:lang w:val="en-US" w:eastAsia="zh-CN"/>
        </w:rPr>
        <w:t>完赛区</w:t>
      </w:r>
      <w:r>
        <w:rPr>
          <w:rFonts w:hint="default" w:ascii="仿宋" w:hAnsi="仿宋" w:eastAsia="仿宋" w:cs="仿宋"/>
          <w:color w:val="auto"/>
          <w:sz w:val="32"/>
          <w:szCs w:val="32"/>
          <w:lang w:val="en-US" w:eastAsia="zh-CN"/>
        </w:rPr>
        <w:t>、嘉宾休息区及餐饮区的饮用水供应设施、饮用水储存容器等。</w:t>
      </w:r>
    </w:p>
    <w:p w14:paraId="09773FD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2.监督监测内容：饮用水来源监督，核查饮用水供应商资质，确保饮用水来自合法合规渠道</w:t>
      </w:r>
      <w:r>
        <w:rPr>
          <w:rFonts w:hint="eastAsia" w:ascii="仿宋" w:hAnsi="仿宋" w:eastAsia="仿宋" w:cs="仿宋"/>
          <w:color w:val="auto"/>
          <w:sz w:val="32"/>
          <w:szCs w:val="32"/>
          <w:lang w:val="en-US" w:eastAsia="zh-CN"/>
        </w:rPr>
        <w:t>。赛事用水优先选用经过审核的供应商瓶装水。</w:t>
      </w:r>
    </w:p>
    <w:p w14:paraId="44B19EF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（六）传染病防控</w:t>
      </w:r>
    </w:p>
    <w:p w14:paraId="51D869F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 xml:space="preserve"> 对传染病患者或疑似患者，立即启动防控预案，将其转运至临时隔离点，安排医护人员进行排查诊疗，同时追溯其密切接触人员，进行隔离观察；严禁传染病患者或疑似患者进入赛事核心区域，避免传播扩散；提醒人员出现发热、咳嗽、腹泻等不适症状时，及时报告并前往医疗站点就诊。</w:t>
      </w:r>
    </w:p>
    <w:p w14:paraId="3CFA650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（七）紧急用药政策</w:t>
      </w:r>
    </w:p>
    <w:p w14:paraId="45A0298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紧急用药主要包括急救药品（如肾上腺素、硝酸甘油、除颤仪配套药品等）、常用应急药品（如止血药、止痛药、抗过敏药、补液制剂、中暑急救药等），严格限定用药范围，严禁使用违规、过期药品。</w:t>
      </w:r>
    </w:p>
    <w:p w14:paraId="269B2FF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2.所有紧急药品由赛事医疗指挥中心统一采购、管理</w:t>
      </w:r>
      <w:r>
        <w:rPr>
          <w:rFonts w:hint="eastAsia" w:ascii="仿宋" w:hAnsi="仿宋" w:eastAsia="仿宋" w:cs="仿宋"/>
          <w:color w:val="auto"/>
          <w:sz w:val="32"/>
          <w:szCs w:val="32"/>
          <w:lang w:val="en-US" w:eastAsia="zh-CN"/>
        </w:rPr>
        <w:t>。</w:t>
      </w:r>
    </w:p>
    <w:p w14:paraId="7AD75B5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（八）公共卫生事件防控政策</w:t>
      </w:r>
    </w:p>
    <w:p w14:paraId="38AD6D9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坚持“预防为主、早发现、早报告、早处置、早控制”的原则，全面落实防控措施，重点防范食品安全事件、传染病暴发流行、饮用水污染等公共卫生事件，确保事件发生后能够快速响应、高效处置。</w:t>
      </w:r>
    </w:p>
    <w:p w14:paraId="2DD8637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（九）临时隔离点配置</w:t>
      </w:r>
    </w:p>
    <w:p w14:paraId="10C1C4A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临时隔离点需选择远离赛事核心区域、人员密集区域的独立空间，通风良好、采光充足，交通便捷，便于医疗转运，同时远离饮用水源、食品加工区域，避免交叉污染。</w:t>
      </w:r>
    </w:p>
    <w:p w14:paraId="2F98D22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（十）临时隔离管理措施</w:t>
      </w:r>
    </w:p>
    <w:p w14:paraId="5C35C1E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隔离对象进入隔离点后，医护人员立即进行信息登记、健康监测（体温、症状等），告知隔离管理规定及注意事项</w:t>
      </w:r>
      <w:r>
        <w:rPr>
          <w:rFonts w:hint="eastAsia" w:ascii="仿宋" w:hAnsi="仿宋" w:eastAsia="仿宋" w:cs="仿宋"/>
          <w:color w:val="auto"/>
          <w:sz w:val="32"/>
          <w:szCs w:val="32"/>
          <w:lang w:val="en-US" w:eastAsia="zh-CN"/>
        </w:rPr>
        <w:t>，同时</w:t>
      </w:r>
      <w:r>
        <w:rPr>
          <w:rFonts w:hint="default" w:ascii="仿宋" w:hAnsi="仿宋" w:eastAsia="仿宋" w:cs="仿宋"/>
          <w:color w:val="auto"/>
          <w:sz w:val="32"/>
          <w:szCs w:val="32"/>
          <w:lang w:val="en-US" w:eastAsia="zh-CN"/>
        </w:rPr>
        <w:t>启动急救转运流程，</w:t>
      </w:r>
      <w:r>
        <w:rPr>
          <w:rFonts w:hint="eastAsia" w:ascii="仿宋" w:hAnsi="仿宋" w:eastAsia="仿宋" w:cs="仿宋"/>
          <w:color w:val="auto"/>
          <w:sz w:val="32"/>
          <w:szCs w:val="32"/>
          <w:lang w:val="en-US" w:eastAsia="zh-CN"/>
        </w:rPr>
        <w:t>安排隔离车辆</w:t>
      </w:r>
      <w:r>
        <w:rPr>
          <w:rFonts w:hint="default" w:ascii="仿宋" w:hAnsi="仿宋" w:eastAsia="仿宋" w:cs="仿宋"/>
          <w:color w:val="auto"/>
          <w:sz w:val="32"/>
          <w:szCs w:val="32"/>
          <w:lang w:val="en-US" w:eastAsia="zh-CN"/>
        </w:rPr>
        <w:t>转运至定点救治医院</w:t>
      </w:r>
      <w:r>
        <w:rPr>
          <w:rFonts w:hint="eastAsia" w:ascii="仿宋" w:hAnsi="仿宋" w:eastAsia="仿宋" w:cs="仿宋"/>
          <w:color w:val="auto"/>
          <w:sz w:val="32"/>
          <w:szCs w:val="32"/>
          <w:lang w:val="en-US" w:eastAsia="zh-CN"/>
        </w:rPr>
        <w:t>。</w:t>
      </w:r>
    </w:p>
    <w:p w14:paraId="044F4E2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（十一）涉疫信息上报制度</w:t>
      </w:r>
    </w:p>
    <w:p w14:paraId="372564D5">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涉疫信息实行“逐级上报、快速响应”，发现涉疫信息后，现场工作人员、医护人员立即向赛事医疗指挥中心上报；医疗指挥中心接到上报后，立即核实信息，对确认的涉疫信息，在30分钟内上报当地卫生健康部门及赛事组委会；上报信息需完整、准确，包括涉疫人员信息、症状、发生地点、时间、处置情况等内容，不得迟报、漏报、瞒报。</w:t>
      </w:r>
    </w:p>
    <w:p w14:paraId="7D6BDB3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（十二）公共卫生事件管理指挥体系</w:t>
      </w:r>
    </w:p>
    <w:p w14:paraId="56130CE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w:t>
      </w:r>
      <w:r>
        <w:rPr>
          <w:rFonts w:hint="eastAsia" w:ascii="仿宋" w:hAnsi="仿宋" w:eastAsia="仿宋" w:cs="仿宋"/>
          <w:color w:val="auto"/>
          <w:sz w:val="32"/>
          <w:szCs w:val="32"/>
          <w:lang w:val="en-US" w:eastAsia="zh-CN"/>
        </w:rPr>
        <w:t>赛事</w:t>
      </w:r>
      <w:r>
        <w:rPr>
          <w:rFonts w:hint="default" w:ascii="仿宋" w:hAnsi="仿宋" w:eastAsia="仿宋" w:cs="仿宋"/>
          <w:color w:val="auto"/>
          <w:sz w:val="32"/>
          <w:szCs w:val="32"/>
          <w:lang w:val="en-US" w:eastAsia="zh-CN"/>
        </w:rPr>
        <w:t>总指挥：由赛事组委会主要负责人担任总指挥，统筹协调公共卫生事件处置工作，审定应急预案，决策重大处置措施，负责督促各工作组落实防控及处置措施，确保事件得到有效控制。</w:t>
      </w:r>
    </w:p>
    <w:p w14:paraId="30D1C37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2.医疗</w:t>
      </w:r>
      <w:r>
        <w:rPr>
          <w:rFonts w:hint="eastAsia" w:ascii="仿宋" w:hAnsi="仿宋" w:eastAsia="仿宋" w:cs="仿宋"/>
          <w:color w:val="auto"/>
          <w:sz w:val="32"/>
          <w:szCs w:val="32"/>
          <w:lang w:val="en-US" w:eastAsia="zh-CN"/>
        </w:rPr>
        <w:t>总指挥</w:t>
      </w:r>
      <w:r>
        <w:rPr>
          <w:rFonts w:hint="default" w:ascii="仿宋" w:hAnsi="仿宋" w:eastAsia="仿宋" w:cs="仿宋"/>
          <w:color w:val="auto"/>
          <w:sz w:val="32"/>
          <w:szCs w:val="32"/>
          <w:lang w:val="en-US" w:eastAsia="zh-CN"/>
        </w:rPr>
        <w:t>：由赛事医疗保障团队负责人担任</w:t>
      </w:r>
      <w:r>
        <w:rPr>
          <w:rFonts w:hint="eastAsia" w:ascii="仿宋" w:hAnsi="仿宋" w:eastAsia="仿宋" w:cs="仿宋"/>
          <w:color w:val="auto"/>
          <w:sz w:val="32"/>
          <w:szCs w:val="32"/>
          <w:lang w:val="en-US" w:eastAsia="zh-CN"/>
        </w:rPr>
        <w:t>总指挥</w:t>
      </w:r>
      <w:r>
        <w:rPr>
          <w:rFonts w:hint="default" w:ascii="仿宋" w:hAnsi="仿宋" w:eastAsia="仿宋" w:cs="仿宋"/>
          <w:color w:val="auto"/>
          <w:sz w:val="32"/>
          <w:szCs w:val="32"/>
          <w:lang w:val="en-US" w:eastAsia="zh-CN"/>
        </w:rPr>
        <w:t>，成员包括医护人员、急救人员，负责公共卫生事件的医疗救治、健康监测、隔离管理等工作；负责医疗物资调配、用药管理，及时上报医疗处置情况。</w:t>
      </w:r>
    </w:p>
    <w:p w14:paraId="3ECCC60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6.应急</w:t>
      </w:r>
      <w:r>
        <w:rPr>
          <w:rFonts w:hint="eastAsia" w:ascii="仿宋" w:hAnsi="仿宋" w:eastAsia="仿宋" w:cs="仿宋"/>
          <w:color w:val="auto"/>
          <w:sz w:val="32"/>
          <w:szCs w:val="32"/>
          <w:lang w:val="en-US" w:eastAsia="zh-CN"/>
        </w:rPr>
        <w:t>保障</w:t>
      </w:r>
      <w:r>
        <w:rPr>
          <w:rFonts w:hint="default" w:ascii="仿宋" w:hAnsi="仿宋" w:eastAsia="仿宋" w:cs="仿宋"/>
          <w:color w:val="auto"/>
          <w:sz w:val="32"/>
          <w:szCs w:val="32"/>
          <w:lang w:val="en-US" w:eastAsia="zh-CN"/>
        </w:rPr>
        <w:t>组：负责与当地卫生健康部门、急救机构、定点医院、公安部门等相关单位的联动协调工作；配合相关部门开展调查处置、风险管控等工作。</w:t>
      </w:r>
    </w:p>
    <w:p w14:paraId="084F686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（十三）防疫物资准备</w:t>
      </w:r>
    </w:p>
    <w:p w14:paraId="2F17968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根据赛事规模、参与人数及防控需求，科学测算物资储备数量，确保储备充足，应对临时新增需求；物资需由组委会统一采购，选择合法合规、资质齐全的供应商，确保物资质量达标</w:t>
      </w:r>
      <w:r>
        <w:rPr>
          <w:rFonts w:hint="eastAsia" w:ascii="仿宋" w:hAnsi="仿宋" w:eastAsia="仿宋" w:cs="仿宋"/>
          <w:color w:val="auto"/>
          <w:sz w:val="32"/>
          <w:szCs w:val="32"/>
          <w:lang w:val="en-US" w:eastAsia="zh-CN"/>
        </w:rPr>
        <w:t>。</w:t>
      </w:r>
    </w:p>
    <w:p w14:paraId="6F6DA8F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十六、安保服务</w:t>
      </w:r>
    </w:p>
    <w:p w14:paraId="4233E25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（一）安保运行（安保区域划分）政策</w:t>
      </w:r>
    </w:p>
    <w:p w14:paraId="09A8F51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主会场、赛道、嘉宾区、集结区、检录区等</w:t>
      </w:r>
      <w:r>
        <w:rPr>
          <w:rFonts w:hint="default" w:ascii="仿宋" w:hAnsi="仿宋" w:eastAsia="仿宋" w:cs="仿宋"/>
          <w:color w:val="auto"/>
          <w:sz w:val="32"/>
          <w:szCs w:val="32"/>
          <w:lang w:val="en-US" w:eastAsia="zh-CN"/>
        </w:rPr>
        <w:t>各区域设置明显的安保标识及区域边界标识，明确管控范围，安保人员严格执行准入规定，对违规进入人员及时劝阻、处置；根据赛事流程变化，动态调整各区域管控强度及值守力量，确保安保运行与赛事流程同频同步。</w:t>
      </w:r>
    </w:p>
    <w:p w14:paraId="31934FC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（二）巡逻防控、秩序维护</w:t>
      </w:r>
    </w:p>
    <w:p w14:paraId="4D1BA41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按安保区域划分，组建专项巡逻队伍，配备对讲机、扩音器、执法记录仪等设备，实行“定点值守+动态巡逻”相结合的模式。核心管控区实行</w:t>
      </w:r>
      <w:r>
        <w:rPr>
          <w:rFonts w:hint="eastAsia" w:ascii="仿宋" w:hAnsi="仿宋" w:eastAsia="仿宋" w:cs="仿宋"/>
          <w:color w:val="auto"/>
          <w:sz w:val="32"/>
          <w:szCs w:val="32"/>
          <w:lang w:val="en-US" w:eastAsia="zh-CN"/>
        </w:rPr>
        <w:t>固定点位站岗防控</w:t>
      </w:r>
      <w:r>
        <w:rPr>
          <w:rFonts w:hint="default" w:ascii="仿宋" w:hAnsi="仿宋" w:eastAsia="仿宋" w:cs="仿宋"/>
          <w:color w:val="auto"/>
          <w:sz w:val="32"/>
          <w:szCs w:val="32"/>
          <w:lang w:val="en-US" w:eastAsia="zh-CN"/>
        </w:rPr>
        <w:t>，一般防控区及外围管控区每小时巡逻1次。</w:t>
      </w:r>
    </w:p>
    <w:p w14:paraId="465FF41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（三）消防、水、电、气等设施设备运行督查</w:t>
      </w:r>
    </w:p>
    <w:p w14:paraId="56D7D80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成立专项督查小组，由安保部门牵头，联动后勤、技术、消防等部门，明确各部门督查职责，实行“专人负责、分片督查”，确保督查工作全覆盖、无遗漏；建立督查台账，详细记录督查情况、发现问题及处置结果，实现全程可追溯。</w:t>
      </w:r>
    </w:p>
    <w:p w14:paraId="45EB464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（四）特别区域安保</w:t>
      </w:r>
    </w:p>
    <w:p w14:paraId="0FBD718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1.嘉宾区域：包括嘉宾休息区、观礼区、致辞区、颁奖区</w:t>
      </w:r>
      <w:r>
        <w:rPr>
          <w:rFonts w:hint="eastAsia" w:ascii="仿宋" w:hAnsi="仿宋" w:eastAsia="仿宋" w:cs="仿宋"/>
          <w:color w:val="auto"/>
          <w:sz w:val="32"/>
          <w:szCs w:val="32"/>
          <w:lang w:val="en-US" w:eastAsia="zh-CN"/>
        </w:rPr>
        <w:t>等，</w:t>
      </w:r>
      <w:r>
        <w:rPr>
          <w:rFonts w:hint="default" w:ascii="仿宋" w:hAnsi="仿宋" w:eastAsia="仿宋" w:cs="仿宋"/>
          <w:color w:val="auto"/>
          <w:sz w:val="32"/>
          <w:szCs w:val="32"/>
          <w:lang w:val="en-US" w:eastAsia="zh-CN"/>
        </w:rPr>
        <w:t>配备专属安保人员，严禁无关人员靠近，保障嘉宾人身安全及活动顺利开展。</w:t>
      </w:r>
    </w:p>
    <w:p w14:paraId="3B78D27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2.赛事指挥中心：实行封闭式管控，仅限组委会核心工作人员、指定技术及安保人员进入</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确保指挥中心信息安全、运行有序，防范干扰、破坏等风险。</w:t>
      </w:r>
    </w:p>
    <w:p w14:paraId="603598E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3.物资储存区及医疗急救核心区：物资储存区配备</w:t>
      </w:r>
      <w:r>
        <w:rPr>
          <w:rFonts w:hint="eastAsia" w:ascii="仿宋" w:hAnsi="仿宋" w:eastAsia="仿宋" w:cs="仿宋"/>
          <w:color w:val="auto"/>
          <w:sz w:val="32"/>
          <w:szCs w:val="32"/>
          <w:lang w:val="en-US" w:eastAsia="zh-CN"/>
        </w:rPr>
        <w:t>专属管理</w:t>
      </w:r>
      <w:r>
        <w:rPr>
          <w:rFonts w:hint="default" w:ascii="仿宋" w:hAnsi="仿宋" w:eastAsia="仿宋" w:cs="仿宋"/>
          <w:color w:val="auto"/>
          <w:sz w:val="32"/>
          <w:szCs w:val="32"/>
          <w:lang w:val="en-US" w:eastAsia="zh-CN"/>
        </w:rPr>
        <w:t>人员，</w:t>
      </w:r>
      <w:r>
        <w:rPr>
          <w:rFonts w:hint="eastAsia" w:ascii="仿宋" w:hAnsi="仿宋" w:eastAsia="仿宋" w:cs="仿宋"/>
          <w:color w:val="auto"/>
          <w:sz w:val="32"/>
          <w:szCs w:val="32"/>
          <w:lang w:val="en-US" w:eastAsia="zh-CN"/>
        </w:rPr>
        <w:t>重</w:t>
      </w:r>
      <w:r>
        <w:rPr>
          <w:rFonts w:hint="default" w:ascii="仿宋" w:hAnsi="仿宋" w:eastAsia="仿宋" w:cs="仿宋"/>
          <w:color w:val="auto"/>
          <w:sz w:val="32"/>
          <w:szCs w:val="32"/>
          <w:lang w:val="en-US" w:eastAsia="zh-CN"/>
        </w:rPr>
        <w:t>点防范物资丢失、损坏、被盗等风险</w:t>
      </w:r>
      <w:r>
        <w:rPr>
          <w:rFonts w:hint="eastAsia" w:ascii="仿宋" w:hAnsi="仿宋" w:eastAsia="仿宋" w:cs="仿宋"/>
          <w:color w:val="auto"/>
          <w:sz w:val="32"/>
          <w:szCs w:val="32"/>
          <w:lang w:val="en-US" w:eastAsia="zh-CN"/>
        </w:rPr>
        <w:t>；在</w:t>
      </w:r>
      <w:r>
        <w:rPr>
          <w:rFonts w:hint="default" w:ascii="仿宋" w:hAnsi="仿宋" w:eastAsia="仿宋" w:cs="仿宋"/>
          <w:color w:val="auto"/>
          <w:sz w:val="32"/>
          <w:szCs w:val="32"/>
          <w:lang w:val="en-US" w:eastAsia="zh-CN"/>
        </w:rPr>
        <w:t>医疗急救核心区</w:t>
      </w:r>
      <w:r>
        <w:rPr>
          <w:rFonts w:hint="eastAsia" w:ascii="仿宋" w:hAnsi="仿宋" w:eastAsia="仿宋" w:cs="仿宋"/>
          <w:color w:val="auto"/>
          <w:sz w:val="32"/>
          <w:szCs w:val="32"/>
          <w:lang w:val="en-US" w:eastAsia="zh-CN"/>
        </w:rPr>
        <w:t>安</w:t>
      </w:r>
      <w:r>
        <w:rPr>
          <w:rFonts w:hint="default" w:ascii="仿宋" w:hAnsi="仿宋" w:eastAsia="仿宋" w:cs="仿宋"/>
          <w:color w:val="auto"/>
          <w:sz w:val="32"/>
          <w:szCs w:val="32"/>
          <w:lang w:val="en-US" w:eastAsia="zh-CN"/>
        </w:rPr>
        <w:t>排</w:t>
      </w:r>
      <w:r>
        <w:rPr>
          <w:rFonts w:hint="eastAsia" w:ascii="仿宋" w:hAnsi="仿宋" w:eastAsia="仿宋" w:cs="仿宋"/>
          <w:color w:val="auto"/>
          <w:sz w:val="32"/>
          <w:szCs w:val="32"/>
          <w:lang w:val="en-US" w:eastAsia="zh-CN"/>
        </w:rPr>
        <w:t>专</w:t>
      </w:r>
      <w:r>
        <w:rPr>
          <w:rFonts w:hint="default" w:ascii="仿宋" w:hAnsi="仿宋" w:eastAsia="仿宋" w:cs="仿宋"/>
          <w:color w:val="auto"/>
          <w:sz w:val="32"/>
          <w:szCs w:val="32"/>
          <w:lang w:val="en-US" w:eastAsia="zh-CN"/>
        </w:rPr>
        <w:t>员值守，维护医疗秩序，保障医护人员开展急救工作，确保急救通道畅通。</w:t>
      </w:r>
    </w:p>
    <w:p w14:paraId="0F37C50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（五）突发事件先期处置</w:t>
      </w:r>
    </w:p>
    <w:p w14:paraId="0713504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坚持“先救人、后处置，先控制、后化解”，优先保障人员生命安全，再处置财产损失及事态后续</w:t>
      </w:r>
      <w:r>
        <w:rPr>
          <w:rFonts w:hint="eastAsia" w:ascii="仿宋" w:hAnsi="仿宋" w:eastAsia="仿宋" w:cs="仿宋"/>
          <w:color w:val="auto"/>
          <w:sz w:val="32"/>
          <w:szCs w:val="32"/>
          <w:lang w:val="en-US" w:eastAsia="zh-CN"/>
        </w:rPr>
        <w:t>；在</w:t>
      </w:r>
      <w:r>
        <w:rPr>
          <w:rFonts w:hint="default" w:ascii="仿宋" w:hAnsi="仿宋" w:eastAsia="仿宋" w:cs="仿宋"/>
          <w:color w:val="auto"/>
          <w:sz w:val="32"/>
          <w:szCs w:val="32"/>
          <w:lang w:val="en-US" w:eastAsia="zh-CN"/>
        </w:rPr>
        <w:t>处置过程中严格遵循法律法规，规范操作，避免因处置不当引发二次事故；联动医疗、消防、交通等部门，形成处置合力，提升处置效率。</w:t>
      </w:r>
    </w:p>
    <w:p w14:paraId="0977395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（六）人检与车检政策</w:t>
      </w:r>
    </w:p>
    <w:p w14:paraId="4E20A44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所有进入赛事管控区域的人员（参赛人员、工作人员、嘉宾、媒体记者、观众等），均需接受安全检查。</w:t>
      </w:r>
    </w:p>
    <w:p w14:paraId="1E285F1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2.所有进入赛事管控区域（主会场、赛道周边、停车场等）的车辆，仅限持赛事专用通行证件的车辆进入。</w:t>
      </w:r>
    </w:p>
    <w:p w14:paraId="6DECBC5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（七）禁/限带物品管理</w:t>
      </w:r>
    </w:p>
    <w:p w14:paraId="2188F82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禁带物品清单（严禁携带进入赛事任何管控区域）：</w:t>
      </w:r>
    </w:p>
    <w:p w14:paraId="3E5634F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武器装备类：枪支弹药、仿真枪、玩具枪、管制刀具（匕首、三棱刀、弹簧刀等）、弩、弹弓等；</w:t>
      </w:r>
    </w:p>
    <w:p w14:paraId="155D253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易燃易爆类：汽油、柴油、酒精、烟花爆竹、打火机、火柴、易燃易爆喷雾剂等；</w:t>
      </w:r>
    </w:p>
    <w:p w14:paraId="3B60BF89">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有毒有害及腐蚀性类：毒药、农药、甲醛、硫酸等有毒有害、腐蚀性物品；</w:t>
      </w:r>
    </w:p>
    <w:p w14:paraId="10E2E5E7">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4.</w:t>
      </w:r>
      <w:r>
        <w:rPr>
          <w:rFonts w:hint="default" w:ascii="仿宋" w:hAnsi="仿宋" w:eastAsia="仿宋" w:cs="仿宋"/>
          <w:color w:val="auto"/>
          <w:sz w:val="32"/>
          <w:szCs w:val="32"/>
          <w:lang w:val="en-US" w:eastAsia="zh-CN"/>
        </w:rPr>
        <w:t>放射性及危险物品：放射性物品、传染性物品、不明液体、不明粉末等；</w:t>
      </w:r>
    </w:p>
    <w:p w14:paraId="01CE0D1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5.</w:t>
      </w:r>
      <w:r>
        <w:rPr>
          <w:rFonts w:hint="default" w:ascii="仿宋" w:hAnsi="仿宋" w:eastAsia="仿宋" w:cs="仿宋"/>
          <w:color w:val="auto"/>
          <w:sz w:val="32"/>
          <w:szCs w:val="32"/>
          <w:lang w:val="en-US" w:eastAsia="zh-CN"/>
        </w:rPr>
        <w:t>其他危险物品：无人机、</w:t>
      </w:r>
      <w:r>
        <w:rPr>
          <w:rFonts w:hint="eastAsia" w:ascii="仿宋" w:hAnsi="仿宋" w:eastAsia="仿宋" w:cs="仿宋"/>
          <w:color w:val="auto"/>
          <w:sz w:val="32"/>
          <w:szCs w:val="32"/>
          <w:lang w:val="en-US" w:eastAsia="zh-CN"/>
        </w:rPr>
        <w:t>氢</w:t>
      </w:r>
      <w:r>
        <w:rPr>
          <w:rFonts w:hint="default" w:ascii="仿宋" w:hAnsi="仿宋" w:eastAsia="仿宋" w:cs="仿宋"/>
          <w:color w:val="auto"/>
          <w:sz w:val="32"/>
          <w:szCs w:val="32"/>
          <w:lang w:val="en-US" w:eastAsia="zh-CN"/>
        </w:rPr>
        <w:t>气球、大型金属物品、尖锐物品（铁钉、玻璃碎片等）、管制器具等；</w:t>
      </w:r>
    </w:p>
    <w:p w14:paraId="6561A3A3">
      <w:pPr>
        <w:keepNext w:val="0"/>
        <w:keepLines w:val="0"/>
        <w:pageBreakBefore w:val="0"/>
        <w:numPr>
          <w:ilvl w:val="0"/>
          <w:numId w:val="0"/>
        </w:numPr>
        <w:kinsoku/>
        <w:wordWrap/>
        <w:overflowPunct/>
        <w:topLinePunct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6.</w:t>
      </w:r>
      <w:r>
        <w:rPr>
          <w:rFonts w:hint="default" w:ascii="仿宋" w:hAnsi="仿宋" w:eastAsia="仿宋" w:cs="仿宋"/>
          <w:color w:val="auto"/>
          <w:sz w:val="32"/>
          <w:szCs w:val="32"/>
          <w:lang w:val="en-US" w:eastAsia="zh-CN"/>
        </w:rPr>
        <w:t>违规宣传物品：未经组委会允许的横幅、标语、传单、广告牌等宣传物品，以及带有低俗、违规、违法内容的物品。</w:t>
      </w:r>
    </w:p>
    <w:p w14:paraId="679DB604">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（八）可疑物处置</w:t>
      </w:r>
    </w:p>
    <w:p w14:paraId="5BD8C57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1.工作人员</w:t>
      </w:r>
      <w:r>
        <w:rPr>
          <w:rFonts w:hint="default" w:ascii="仿宋" w:hAnsi="仿宋" w:eastAsia="仿宋" w:cs="仿宋"/>
          <w:color w:val="auto"/>
          <w:sz w:val="32"/>
          <w:szCs w:val="32"/>
          <w:lang w:val="en-US" w:eastAsia="zh-CN"/>
        </w:rPr>
        <w:t>发现可疑物后，立即通过对讲机、电话等方式向安保指挥中心报告，说明可疑物位置、外观特征、发现时间及现场情况，同时在可疑物周边设置警戒区域，疏散周边人员，禁止无关人员、车辆靠近，安排安保人员定点值守，防范人员误触。</w:t>
      </w:r>
    </w:p>
    <w:p w14:paraId="371CD48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安保指挥中心接到报告后，立即启动可疑物处置预案，调度专业处置人员（如排爆人员、公安民警）赶赴现场，同时联动消防、医疗等部门做好应急准备；专业处置人员抵达现场后，对可疑物进行检测、排查，明确物品性质。</w:t>
      </w:r>
    </w:p>
    <w:p w14:paraId="7368ADEF">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（九）群众治安事件的控制措施</w:t>
      </w:r>
    </w:p>
    <w:p w14:paraId="7BE5F156">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工作</w:t>
      </w:r>
      <w:r>
        <w:rPr>
          <w:rFonts w:hint="default" w:ascii="仿宋" w:hAnsi="仿宋" w:eastAsia="仿宋" w:cs="仿宋"/>
          <w:color w:val="auto"/>
          <w:sz w:val="32"/>
          <w:szCs w:val="32"/>
          <w:lang w:val="en-US" w:eastAsia="zh-CN"/>
        </w:rPr>
        <w:t>人员发现群众治安事件后，</w:t>
      </w:r>
      <w:r>
        <w:rPr>
          <w:rFonts w:hint="eastAsia" w:ascii="仿宋" w:hAnsi="仿宋" w:eastAsia="仿宋" w:cs="仿宋"/>
          <w:color w:val="auto"/>
          <w:sz w:val="32"/>
          <w:szCs w:val="32"/>
          <w:lang w:val="en-US" w:eastAsia="zh-CN"/>
        </w:rPr>
        <w:t>向安保指挥中心汇报，同时</w:t>
      </w:r>
      <w:r>
        <w:rPr>
          <w:rFonts w:hint="default" w:ascii="仿宋" w:hAnsi="仿宋" w:eastAsia="仿宋" w:cs="仿宋"/>
          <w:color w:val="auto"/>
          <w:sz w:val="32"/>
          <w:szCs w:val="32"/>
          <w:lang w:val="en-US" w:eastAsia="zh-CN"/>
        </w:rPr>
        <w:t>快速隔离冲突双方，制止过激行为（如斗殴、推搡、辱骂等），避免冲突升级</w:t>
      </w:r>
      <w:r>
        <w:rPr>
          <w:rFonts w:hint="eastAsia" w:ascii="仿宋" w:hAnsi="仿宋" w:eastAsia="仿宋" w:cs="仿宋"/>
          <w:color w:val="auto"/>
          <w:sz w:val="32"/>
          <w:szCs w:val="32"/>
          <w:lang w:val="en-US" w:eastAsia="zh-CN"/>
        </w:rPr>
        <w:t>，等待公安机关将冲突双方带离</w:t>
      </w:r>
      <w:r>
        <w:rPr>
          <w:rFonts w:hint="default" w:ascii="仿宋" w:hAnsi="仿宋" w:eastAsia="仿宋" w:cs="仿宋"/>
          <w:color w:val="auto"/>
          <w:sz w:val="32"/>
          <w:szCs w:val="32"/>
          <w:lang w:val="en-US" w:eastAsia="zh-CN"/>
        </w:rPr>
        <w:t>。</w:t>
      </w:r>
    </w:p>
    <w:p w14:paraId="7FF99DD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（十）突发恐怖暴力案件处理措施</w:t>
      </w:r>
    </w:p>
    <w:p w14:paraId="2CCAF78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安保人员、工作人员发现恐怖暴力行为（如持刀伤人、爆炸袭击、纵火、劫持人质等），立即停止靠近，第一时间通过对讲机、电话等方式向安保指挥中心及公安部门报告，说明案件类型、发生地点、涉事人员数量及现场情况，同时尽量远离危险区域，保护自身安全。</w:t>
      </w:r>
    </w:p>
    <w:p w14:paraId="6E36FEC1">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接到报告后，安保指挥中心立即调度就近安保力量赶赴现场，设置警戒区域，疏散周边人员至安全地带，严禁无关人员、车辆进入危险区域；安保人员携带防暴装备（防暴盾牌、防暴钢叉、约束带等），对恐怖暴力分子进行初步管控，制止其暴力行为，拖延时间，等待公安部门支援。</w:t>
      </w:r>
    </w:p>
    <w:p w14:paraId="75F0B66A">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十七、人力资源和志愿者服务</w:t>
      </w:r>
    </w:p>
    <w:p w14:paraId="31989CBE">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（一）人力资源需求</w:t>
      </w:r>
    </w:p>
    <w:p w14:paraId="7583116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1.核心管理岗：主要负责赛事整体统筹、决策及各部门协调工作，</w:t>
      </w:r>
      <w:r>
        <w:rPr>
          <w:rFonts w:hint="eastAsia" w:ascii="仿宋" w:hAnsi="仿宋" w:eastAsia="仿宋" w:cs="仿宋"/>
          <w:color w:val="auto"/>
          <w:sz w:val="32"/>
          <w:szCs w:val="32"/>
          <w:lang w:val="en-US" w:eastAsia="zh-CN"/>
        </w:rPr>
        <w:t>须具备</w:t>
      </w:r>
      <w:r>
        <w:rPr>
          <w:rFonts w:hint="default" w:ascii="仿宋" w:hAnsi="仿宋" w:eastAsia="仿宋" w:cs="仿宋"/>
          <w:color w:val="auto"/>
          <w:sz w:val="32"/>
          <w:szCs w:val="32"/>
          <w:lang w:val="en-US" w:eastAsia="zh-CN"/>
        </w:rPr>
        <w:t>丰富的赛事管理经验、较强的统筹协调能力及应急处置能力。核心负责人</w:t>
      </w:r>
      <w:r>
        <w:rPr>
          <w:rFonts w:hint="eastAsia" w:ascii="仿宋" w:hAnsi="仿宋" w:eastAsia="仿宋" w:cs="仿宋"/>
          <w:color w:val="auto"/>
          <w:sz w:val="32"/>
          <w:szCs w:val="32"/>
          <w:lang w:val="en-US" w:eastAsia="zh-CN"/>
        </w:rPr>
        <w:t>须具备3</w:t>
      </w:r>
      <w:r>
        <w:rPr>
          <w:rFonts w:hint="default" w:ascii="仿宋" w:hAnsi="仿宋" w:eastAsia="仿宋" w:cs="仿宋"/>
          <w:color w:val="auto"/>
          <w:sz w:val="32"/>
          <w:szCs w:val="32"/>
          <w:lang w:val="en-US" w:eastAsia="zh-CN"/>
        </w:rPr>
        <w:t>年以上大型赛事管理经验，能够统筹推进赛事各项工作，协调解决赛事推进中的各类问题。</w:t>
      </w:r>
    </w:p>
    <w:p w14:paraId="5B2E414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2.专项执行岗：聚焦赛事各具体环节的执行工作，</w:t>
      </w:r>
      <w:r>
        <w:rPr>
          <w:rFonts w:hint="eastAsia" w:ascii="仿宋" w:hAnsi="仿宋" w:eastAsia="仿宋" w:cs="仿宋"/>
          <w:color w:val="auto"/>
          <w:sz w:val="32"/>
          <w:szCs w:val="32"/>
          <w:lang w:val="en-US" w:eastAsia="zh-CN"/>
        </w:rPr>
        <w:t>须具备</w:t>
      </w:r>
      <w:r>
        <w:rPr>
          <w:rFonts w:hint="default" w:ascii="仿宋" w:hAnsi="仿宋" w:eastAsia="仿宋" w:cs="仿宋"/>
          <w:color w:val="auto"/>
          <w:sz w:val="32"/>
          <w:szCs w:val="32"/>
          <w:lang w:val="en-US" w:eastAsia="zh-CN"/>
        </w:rPr>
        <w:t>对应岗位的专业技能，熟悉岗位工作流程及赛事相关规范。具体岗位包括检录人员、礼宾接待人员、媒体对接人员、技术保障人员等，人数根据赛事参赛规模、赛道设置及环节需求配置，确保各专项工作精准、高效执行。</w:t>
      </w:r>
    </w:p>
    <w:p w14:paraId="1E50B592">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3.保障服务岗：主要负责赛事现场服务、后勤保障、安全防护等辅助工作，</w:t>
      </w:r>
      <w:r>
        <w:rPr>
          <w:rFonts w:hint="eastAsia" w:ascii="仿宋" w:hAnsi="仿宋" w:eastAsia="仿宋" w:cs="仿宋"/>
          <w:color w:val="auto"/>
          <w:sz w:val="32"/>
          <w:szCs w:val="32"/>
          <w:lang w:val="en-US" w:eastAsia="zh-CN"/>
        </w:rPr>
        <w:t>须具备</w:t>
      </w:r>
      <w:r>
        <w:rPr>
          <w:rFonts w:hint="default" w:ascii="仿宋" w:hAnsi="仿宋" w:eastAsia="仿宋" w:cs="仿宋"/>
          <w:color w:val="auto"/>
          <w:sz w:val="32"/>
          <w:szCs w:val="32"/>
          <w:lang w:val="en-US" w:eastAsia="zh-CN"/>
        </w:rPr>
        <w:t>较强的服务意识、责任心及团队协作能力，能够快速响应各类需求。</w:t>
      </w:r>
    </w:p>
    <w:p w14:paraId="3C95680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（二）志愿者和辅助人员需求</w:t>
      </w:r>
    </w:p>
    <w:p w14:paraId="278A7A8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志愿者和辅助人员数量结合赛事规模、参赛人数及各岗位需求合理配置，一般按参赛人数的1:10比例配置。小型赛事志愿者和辅助人员总数不少于</w:t>
      </w:r>
      <w:r>
        <w:rPr>
          <w:rFonts w:hint="eastAsia" w:ascii="仿宋" w:hAnsi="仿宋" w:eastAsia="仿宋" w:cs="仿宋"/>
          <w:color w:val="auto"/>
          <w:sz w:val="32"/>
          <w:szCs w:val="32"/>
          <w:lang w:val="en-US" w:eastAsia="zh-CN"/>
        </w:rPr>
        <w:t>10</w:t>
      </w:r>
      <w:r>
        <w:rPr>
          <w:rFonts w:hint="default" w:ascii="仿宋" w:hAnsi="仿宋" w:eastAsia="仿宋" w:cs="仿宋"/>
          <w:color w:val="auto"/>
          <w:sz w:val="32"/>
          <w:szCs w:val="32"/>
          <w:lang w:val="en-US" w:eastAsia="zh-CN"/>
        </w:rPr>
        <w:t>0人，中型赛事不少于</w:t>
      </w: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00人，大型赛事不少于</w:t>
      </w:r>
      <w:r>
        <w:rPr>
          <w:rFonts w:hint="eastAsia" w:ascii="仿宋" w:hAnsi="仿宋" w:eastAsia="仿宋" w:cs="仿宋"/>
          <w:color w:val="auto"/>
          <w:sz w:val="32"/>
          <w:szCs w:val="32"/>
          <w:lang w:val="en-US" w:eastAsia="zh-CN"/>
        </w:rPr>
        <w:t>3</w:t>
      </w:r>
      <w:r>
        <w:rPr>
          <w:rFonts w:hint="default" w:ascii="仿宋" w:hAnsi="仿宋" w:eastAsia="仿宋" w:cs="仿宋"/>
          <w:color w:val="auto"/>
          <w:sz w:val="32"/>
          <w:szCs w:val="32"/>
          <w:lang w:val="en-US" w:eastAsia="zh-CN"/>
        </w:rPr>
        <w:t>00人，重点保障主会场、赛道、检录区、物资发放区等核心区域的服务需求。</w:t>
      </w:r>
    </w:p>
    <w:p w14:paraId="21E2B07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楷体" w:hAnsi="楷体" w:eastAsia="楷体" w:cs="楷体"/>
          <w:color w:val="auto"/>
          <w:sz w:val="32"/>
          <w:szCs w:val="32"/>
          <w:lang w:val="en-US" w:eastAsia="zh-CN"/>
        </w:rPr>
        <w:t>（三）招募、培训、考核、宣传、注册等人员管理政策</w:t>
      </w:r>
    </w:p>
    <w:p w14:paraId="009AC6E3">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w:t>
      </w:r>
      <w:r>
        <w:rPr>
          <w:rFonts w:hint="default" w:ascii="仿宋" w:hAnsi="仿宋" w:eastAsia="仿宋" w:cs="仿宋"/>
          <w:color w:val="auto"/>
          <w:sz w:val="32"/>
          <w:szCs w:val="32"/>
          <w:lang w:val="en-US" w:eastAsia="zh-CN"/>
        </w:rPr>
        <w:t>人力资源（核心管理岗、专业技术岗）通过行业招聘平台、内部推荐、定向邀约等方式招募，优先选择有赛事相关经验的人员；志愿者通过高校合作、</w:t>
      </w:r>
      <w:r>
        <w:rPr>
          <w:rFonts w:hint="eastAsia" w:ascii="仿宋" w:hAnsi="仿宋" w:eastAsia="仿宋" w:cs="仿宋"/>
          <w:color w:val="auto"/>
          <w:sz w:val="32"/>
          <w:szCs w:val="32"/>
          <w:lang w:val="en-US" w:eastAsia="zh-CN"/>
        </w:rPr>
        <w:t>政府推荐</w:t>
      </w:r>
      <w:r>
        <w:rPr>
          <w:rFonts w:hint="default" w:ascii="仿宋" w:hAnsi="仿宋" w:eastAsia="仿宋" w:cs="仿宋"/>
          <w:color w:val="auto"/>
          <w:sz w:val="32"/>
          <w:szCs w:val="32"/>
          <w:lang w:val="en-US" w:eastAsia="zh-CN"/>
        </w:rPr>
        <w:t>等渠道招募，扩大招募覆盖面</w:t>
      </w:r>
      <w:r>
        <w:rPr>
          <w:rFonts w:hint="eastAsia" w:ascii="仿宋" w:hAnsi="仿宋" w:eastAsia="仿宋" w:cs="仿宋"/>
          <w:color w:val="auto"/>
          <w:sz w:val="32"/>
          <w:szCs w:val="32"/>
          <w:lang w:val="en-US" w:eastAsia="zh-CN"/>
        </w:rPr>
        <w:t>，</w:t>
      </w:r>
      <w:r>
        <w:rPr>
          <w:rFonts w:hint="default" w:ascii="仿宋" w:hAnsi="仿宋" w:eastAsia="仿宋" w:cs="仿宋"/>
          <w:color w:val="auto"/>
          <w:sz w:val="32"/>
          <w:szCs w:val="32"/>
          <w:lang w:val="en-US" w:eastAsia="zh-CN"/>
        </w:rPr>
        <w:t>确保人员充足。</w:t>
      </w:r>
    </w:p>
    <w:p w14:paraId="0400774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w:t>
      </w:r>
      <w:r>
        <w:rPr>
          <w:rFonts w:hint="default" w:ascii="仿宋" w:hAnsi="仿宋" w:eastAsia="仿宋" w:cs="仿宋"/>
          <w:color w:val="auto"/>
          <w:sz w:val="32"/>
          <w:szCs w:val="32"/>
          <w:lang w:val="en-US" w:eastAsia="zh-CN"/>
        </w:rPr>
        <w:t>核心管理岗、专业技术岗按赛事薪酬标准发放劳务报酬；志愿者提供志愿服务补贴（交通、餐饮补贴）、志愿服务证书、纪念礼品；辅助人员按工作量发放劳务报酬，所有人员均提供必要的防护物资（如口罩、手套）及工作装备。</w:t>
      </w:r>
    </w:p>
    <w:p w14:paraId="26396C3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3.所有人员必须参加岗前培训，培训合格后方可上岗；专业技术岗、应急保障岗需额外参加专项培训，确保具备相应专业能力。</w:t>
      </w:r>
    </w:p>
    <w:p w14:paraId="391D8A7C">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十八、赞助商服务</w:t>
      </w:r>
    </w:p>
    <w:p w14:paraId="49955BC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（一）赞助商现场展示</w:t>
      </w:r>
    </w:p>
    <w:p w14:paraId="376AF00D">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1.展示区域设置：在主会场、</w:t>
      </w:r>
      <w:r>
        <w:rPr>
          <w:rFonts w:hint="eastAsia" w:ascii="仿宋" w:hAnsi="仿宋" w:eastAsia="仿宋" w:cs="仿宋"/>
          <w:color w:val="auto"/>
          <w:sz w:val="32"/>
          <w:szCs w:val="32"/>
          <w:lang w:val="en-US" w:eastAsia="zh-CN"/>
        </w:rPr>
        <w:t>赛道沿线</w:t>
      </w:r>
      <w:r>
        <w:rPr>
          <w:rFonts w:hint="default" w:ascii="仿宋" w:hAnsi="仿宋" w:eastAsia="仿宋" w:cs="仿宋"/>
          <w:color w:val="auto"/>
          <w:sz w:val="32"/>
          <w:szCs w:val="32"/>
          <w:lang w:val="en-US" w:eastAsia="zh-CN"/>
        </w:rPr>
        <w:t>、</w:t>
      </w:r>
      <w:r>
        <w:rPr>
          <w:rFonts w:hint="eastAsia" w:ascii="仿宋" w:hAnsi="仿宋" w:eastAsia="仿宋" w:cs="仿宋"/>
          <w:color w:val="auto"/>
          <w:sz w:val="32"/>
          <w:szCs w:val="32"/>
          <w:lang w:val="en-US" w:eastAsia="zh-CN"/>
        </w:rPr>
        <w:t>完赛</w:t>
      </w:r>
      <w:r>
        <w:rPr>
          <w:rFonts w:hint="default" w:ascii="仿宋" w:hAnsi="仿宋" w:eastAsia="仿宋" w:cs="仿宋"/>
          <w:color w:val="auto"/>
          <w:sz w:val="32"/>
          <w:szCs w:val="32"/>
          <w:lang w:val="en-US" w:eastAsia="zh-CN"/>
        </w:rPr>
        <w:t>区等人员密集且不影响赛事核心流程的区域，划分专属赞助商展示区，按赞助商等级（总冠名、协办、支持等）划分展示面积及位置，确保展示效果。</w:t>
      </w:r>
    </w:p>
    <w:p w14:paraId="144790A8">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2.展示形式规范：赞助商可采用展台搭建、产品陈列、互动体验、宣传展板等形式开展现场展示，展示内容需贴合赛事主题，积极健康，无违规、低俗内容；展台搭建需符合临时设施安全规范，选用环保、耐用材料，提前报备搭建方案，经组委会审核通过后方可施工。</w:t>
      </w:r>
    </w:p>
    <w:p w14:paraId="4D55D2C1">
      <w:pPr>
        <w:keepNext w:val="0"/>
        <w:keepLines w:val="0"/>
        <w:pageBreakBefore w:val="0"/>
        <w:widowControl/>
        <w:suppressLineNumbers w:val="0"/>
        <w:kinsoku/>
        <w:wordWrap/>
        <w:overflowPunct/>
        <w:topLinePunct w:val="0"/>
        <w:bidi w:val="0"/>
        <w:adjustRightInd/>
        <w:snapToGrid/>
        <w:spacing w:line="560" w:lineRule="exact"/>
        <w:ind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（二）场馆广告</w:t>
      </w:r>
    </w:p>
    <w:p w14:paraId="6CF8D428">
      <w:pPr>
        <w:keepNext w:val="0"/>
        <w:keepLines w:val="0"/>
        <w:pageBreakBefore w:val="0"/>
        <w:widowControl/>
        <w:suppressLineNumbers w:val="0"/>
        <w:kinsoku/>
        <w:wordWrap/>
        <w:overflowPunct/>
        <w:topLinePunct w:val="0"/>
        <w:bidi w:val="0"/>
        <w:adjustRightInd/>
        <w:snapToGrid/>
        <w:spacing w:line="56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kern w:val="0"/>
          <w:sz w:val="32"/>
          <w:szCs w:val="32"/>
          <w:lang w:val="en-US" w:eastAsia="zh-CN" w:bidi="ar"/>
        </w:rPr>
        <w:t xml:space="preserve">赛事广告须严格按照国家有关规定执行，组委会应自觉接受当地工商、审计、税务等部门的管理和监督。 </w:t>
      </w:r>
    </w:p>
    <w:p w14:paraId="7B98E5D5">
      <w:pPr>
        <w:keepNext w:val="0"/>
        <w:keepLines w:val="0"/>
        <w:pageBreakBefore w:val="0"/>
        <w:widowControl/>
        <w:suppressLineNumbers w:val="0"/>
        <w:kinsoku/>
        <w:wordWrap/>
        <w:overflowPunct/>
        <w:topLinePunct w:val="0"/>
        <w:bidi w:val="0"/>
        <w:adjustRightInd/>
        <w:snapToGrid/>
        <w:spacing w:line="56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kern w:val="0"/>
          <w:sz w:val="32"/>
          <w:szCs w:val="32"/>
          <w:lang w:val="en-US" w:eastAsia="zh-CN" w:bidi="ar"/>
        </w:rPr>
        <w:t>2.组委会应严格遵守国家关于市场活动的有关规定，所有赛事严禁接受烟草赞助。</w:t>
      </w:r>
    </w:p>
    <w:p w14:paraId="159885F0">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val="en-US" w:eastAsia="zh-CN"/>
        </w:rPr>
        <w:t>（三）赞助商识别</w:t>
      </w:r>
    </w:p>
    <w:p w14:paraId="266027DB">
      <w:pPr>
        <w:keepNext w:val="0"/>
        <w:keepLines w:val="0"/>
        <w:pageBreakBefore w:val="0"/>
        <w:numPr>
          <w:ilvl w:val="0"/>
          <w:numId w:val="0"/>
        </w:numPr>
        <w:kinsoku/>
        <w:wordWrap/>
        <w:overflowPunct/>
        <w:topLinePunct w:val="0"/>
        <w:bidi w:val="0"/>
        <w:adjustRightInd/>
        <w:snapToGrid/>
        <w:spacing w:line="560" w:lineRule="exact"/>
        <w:ind w:leftChars="0" w:firstLine="640" w:firstLineChars="200"/>
        <w:jc w:val="both"/>
        <w:textAlignment w:val="auto"/>
        <w:rPr>
          <w:rFonts w:hint="default" w:ascii="仿宋" w:hAnsi="仿宋" w:eastAsia="仿宋" w:cs="仿宋"/>
          <w:color w:val="auto"/>
          <w:sz w:val="32"/>
          <w:szCs w:val="32"/>
          <w:lang w:val="en-US" w:eastAsia="zh-CN"/>
        </w:rPr>
      </w:pPr>
      <w:r>
        <w:rPr>
          <w:rFonts w:hint="default" w:ascii="仿宋" w:hAnsi="仿宋" w:eastAsia="仿宋" w:cs="仿宋"/>
          <w:color w:val="auto"/>
          <w:sz w:val="32"/>
          <w:szCs w:val="32"/>
          <w:lang w:val="en-US" w:eastAsia="zh-CN"/>
        </w:rPr>
        <w:t>在赛事所有相关物料及场地中，清晰标注赞助商标识，包括赛事官网、公众号、宣传手册、海报、参赛物资（号码布、参赛包）、主舞台背景、展示区、广告位等，确保赞助商标识清晰可见、规范统一；按赞助商等级区分标识大小及位置，总冠名赞助商标识突出展示，尺寸大于其他赞助商，位置优先选择显眼区域，协办及以下赞助商标识按等级依次排列，确保等级区分明显。</w:t>
      </w:r>
    </w:p>
    <w:p w14:paraId="55BA9D5F">
      <w:pPr>
        <w:keepNext w:val="0"/>
        <w:keepLines w:val="0"/>
        <w:pageBreakBefore w:val="0"/>
        <w:widowControl/>
        <w:suppressLineNumbers w:val="0"/>
        <w:kinsoku/>
        <w:wordWrap/>
        <w:overflowPunct/>
        <w:topLinePunct w:val="0"/>
        <w:bidi w:val="0"/>
        <w:adjustRightInd/>
        <w:snapToGrid/>
        <w:spacing w:line="560" w:lineRule="exact"/>
        <w:ind w:firstLine="640" w:firstLineChars="200"/>
        <w:jc w:val="both"/>
        <w:textAlignment w:val="auto"/>
        <w:rPr>
          <w:rFonts w:hint="eastAsia" w:ascii="黑体" w:hAnsi="黑体" w:eastAsia="黑体" w:cs="黑体"/>
          <w:b w:val="0"/>
          <w:bCs w:val="0"/>
          <w:color w:val="auto"/>
          <w:lang w:val="en-US" w:eastAsia="zh-CN"/>
        </w:rPr>
      </w:pPr>
      <w:r>
        <w:rPr>
          <w:rFonts w:hint="eastAsia" w:ascii="黑体" w:hAnsi="黑体" w:eastAsia="黑体" w:cs="黑体"/>
          <w:b w:val="0"/>
          <w:bCs w:val="0"/>
          <w:color w:val="auto"/>
          <w:kern w:val="0"/>
          <w:sz w:val="32"/>
          <w:szCs w:val="32"/>
          <w:lang w:val="en-US" w:eastAsia="zh-CN" w:bidi="ar"/>
        </w:rPr>
        <w:t>十九、本指南解释权为中国全民健身走（跑）大赛组织委员会所有。</w:t>
      </w:r>
      <w:r>
        <w:rPr>
          <w:rFonts w:hint="eastAsia" w:ascii="黑体" w:hAnsi="黑体" w:eastAsia="黑体" w:cs="黑体"/>
          <w:b w:val="0"/>
          <w:bCs w:val="0"/>
          <w:color w:val="auto"/>
          <w:kern w:val="0"/>
          <w:sz w:val="30"/>
          <w:szCs w:val="30"/>
          <w:lang w:val="en-US" w:eastAsia="zh-CN" w:bidi="ar"/>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A926A2E-FB56-4A35-A0AC-8B8D203A898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75EA0424-8FD0-476F-A0BF-DB3535DEF809}"/>
  </w:font>
  <w:font w:name="仿宋">
    <w:panose1 w:val="02010609060101010101"/>
    <w:charset w:val="86"/>
    <w:family w:val="auto"/>
    <w:pitch w:val="default"/>
    <w:sig w:usb0="800002BF" w:usb1="38CF7CFA" w:usb2="00000016" w:usb3="00000000" w:csb0="00040001" w:csb1="00000000"/>
    <w:embedRegular r:id="rId3" w:fontKey="{238199B2-AEC4-42B0-A8C5-37F270C32027}"/>
  </w:font>
  <w:font w:name="楷体">
    <w:panose1 w:val="02010609060101010101"/>
    <w:charset w:val="86"/>
    <w:family w:val="auto"/>
    <w:pitch w:val="default"/>
    <w:sig w:usb0="800002BF" w:usb1="38CF7CFA" w:usb2="00000016" w:usb3="00000000" w:csb0="00040001" w:csb1="00000000"/>
    <w:embedRegular r:id="rId4" w:fontKey="{289229C2-E42D-40BD-994F-13C6C2DE404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B756A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58BC9">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D258BC9">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82E416"/>
    <w:multiLevelType w:val="singleLevel"/>
    <w:tmpl w:val="5A82E416"/>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5YTJkODc5YzUzYWYzNzBlZjBmMzE0ZWYxZmZmMGUifQ=="/>
  </w:docVars>
  <w:rsids>
    <w:rsidRoot w:val="5A5E0828"/>
    <w:rsid w:val="02B90BED"/>
    <w:rsid w:val="04294F27"/>
    <w:rsid w:val="045F303F"/>
    <w:rsid w:val="06EC600D"/>
    <w:rsid w:val="0A0C1573"/>
    <w:rsid w:val="0CD24C41"/>
    <w:rsid w:val="0FE62AA9"/>
    <w:rsid w:val="10A27D57"/>
    <w:rsid w:val="10F615BA"/>
    <w:rsid w:val="12C44AFE"/>
    <w:rsid w:val="12F308FD"/>
    <w:rsid w:val="13C7475D"/>
    <w:rsid w:val="152B5C04"/>
    <w:rsid w:val="15560639"/>
    <w:rsid w:val="17D67108"/>
    <w:rsid w:val="19100DAA"/>
    <w:rsid w:val="1A726F57"/>
    <w:rsid w:val="1B2E3F50"/>
    <w:rsid w:val="1F6306F5"/>
    <w:rsid w:val="209974AD"/>
    <w:rsid w:val="209A04D5"/>
    <w:rsid w:val="213667AA"/>
    <w:rsid w:val="215C3E87"/>
    <w:rsid w:val="243511FB"/>
    <w:rsid w:val="252216B3"/>
    <w:rsid w:val="258536D2"/>
    <w:rsid w:val="263504BB"/>
    <w:rsid w:val="276F1053"/>
    <w:rsid w:val="28150FBF"/>
    <w:rsid w:val="28D41056"/>
    <w:rsid w:val="2B8A39A7"/>
    <w:rsid w:val="2DCE4FFC"/>
    <w:rsid w:val="2E9301C2"/>
    <w:rsid w:val="2FCC0FB9"/>
    <w:rsid w:val="31880D04"/>
    <w:rsid w:val="323D2B73"/>
    <w:rsid w:val="32DB1233"/>
    <w:rsid w:val="34730029"/>
    <w:rsid w:val="349B3370"/>
    <w:rsid w:val="34B23B42"/>
    <w:rsid w:val="360D1B6A"/>
    <w:rsid w:val="36480311"/>
    <w:rsid w:val="3B12278B"/>
    <w:rsid w:val="3B376DB1"/>
    <w:rsid w:val="3E445B69"/>
    <w:rsid w:val="40AF030D"/>
    <w:rsid w:val="415C70DD"/>
    <w:rsid w:val="422B351F"/>
    <w:rsid w:val="42966851"/>
    <w:rsid w:val="46DD5122"/>
    <w:rsid w:val="482C6268"/>
    <w:rsid w:val="499A379E"/>
    <w:rsid w:val="4AD359CF"/>
    <w:rsid w:val="4AD41342"/>
    <w:rsid w:val="512751B4"/>
    <w:rsid w:val="52FF5E3A"/>
    <w:rsid w:val="5A5E0828"/>
    <w:rsid w:val="5AC87BEA"/>
    <w:rsid w:val="5B050405"/>
    <w:rsid w:val="5F275059"/>
    <w:rsid w:val="622F4B23"/>
    <w:rsid w:val="645E4963"/>
    <w:rsid w:val="652D22A6"/>
    <w:rsid w:val="65D26240"/>
    <w:rsid w:val="6AC62B7C"/>
    <w:rsid w:val="6C396247"/>
    <w:rsid w:val="6CF96F6F"/>
    <w:rsid w:val="6E8C3EAB"/>
    <w:rsid w:val="71A1386C"/>
    <w:rsid w:val="747B4F79"/>
    <w:rsid w:val="7952173F"/>
    <w:rsid w:val="7C775365"/>
    <w:rsid w:val="7E124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rPr>
      <w:spacing w:val="10"/>
      <w:sz w:val="28"/>
      <w:szCs w:val="28"/>
    </w:rPr>
  </w:style>
  <w:style w:type="paragraph" w:styleId="3">
    <w:name w:val="envelope return"/>
    <w:basedOn w:val="1"/>
    <w:qFormat/>
    <w:uiPriority w:val="0"/>
    <w:pPr>
      <w:snapToGrid w:val="0"/>
    </w:pPr>
    <w:rPr>
      <w:rFonts w:ascii="Arial" w:hAnsi="Arial"/>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rPr>
  </w:style>
  <w:style w:type="paragraph" w:styleId="7">
    <w:name w:val="Body Text First Indent 2"/>
    <w:basedOn w:val="2"/>
    <w:qFormat/>
    <w:uiPriority w:val="0"/>
    <w:pPr>
      <w:ind w:firstLine="420" w:firstLineChars="200"/>
    </w:pPr>
    <w:rPr>
      <w:rFonts w:ascii="Times New Roman" w:hAnsi="Times New Roman" w:eastAsia="宋体" w:cs="Times New Roman"/>
      <w:sz w:val="21"/>
      <w:szCs w:val="24"/>
    </w:rPr>
  </w:style>
  <w:style w:type="character" w:customStyle="1" w:styleId="10">
    <w:name w:val="NormalCharacter"/>
    <w:qFormat/>
    <w:uiPriority w:val="0"/>
    <w:rPr>
      <w:rFonts w:ascii="Calibri" w:hAnsi="Calibri" w:eastAsia="宋体"/>
    </w:rPr>
  </w:style>
  <w:style w:type="paragraph" w:styleId="11">
    <w:name w:val="List Paragraph"/>
    <w:basedOn w:val="1"/>
    <w:qFormat/>
    <w:uiPriority w:val="0"/>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ce043dbd-4a1e-4ac6-955e-2f8866b05a45</errorID>
      <errorWord>协同效益</errorWord>
      <group>L1_Word</group>
      <groupName>字词问题</groupName>
      <ability>L2_Typo</ability>
      <abilityName>字词错误</abilityName>
      <candidateList>
        <item>协同效应</item>
      </candidateList>
      <explain/>
      <paraID>4CF9372F</paraID>
      <start>129</start>
      <end>133</end>
      <status>unmodified</status>
      <modifiedWord/>
      <trackRevisions>false</trackRevisions>
    </reviewItem>
    <reviewItem>
      <errorID>2c047d96-e01d-4a76-8572-dbc3f8ae6f7d</errorID>
      <errorWord>反兴奋剂条例</errorWord>
      <group>L1_Knowledge</group>
      <groupName>知识性问题</groupName>
      <ability>L2_Knowledge</ability>
      <abilityName>其他知识</abilityName>
      <candidateList>
        <item>《反兴奋剂条例》</item>
      </candidateList>
      <explain>完整法律法规名称需要加书名号，请注意检查。</explain>
      <paraID>4933E952</paraID>
      <start>2</start>
      <end>8</end>
      <status>unmodified</status>
      <modifiedWord/>
      <trackRevisions>false</trackRevisions>
    </reviewItem>
    <reviewItem>
      <errorID>6dbda19b-03ea-409c-9f0f-7fbe525cf1ba</errorID>
      <errorWord>员</errorWord>
      <group>L1_Word</group>
      <groupName>字词问题</groupName>
      <ability>L2_Typo</ability>
      <abilityName>字词错误</abilityName>
      <candidateList>
        <item>员在</item>
      </candidateList>
      <explain/>
      <paraID>72687459</paraID>
      <start>12</start>
      <end>13</end>
      <status>unmodified</status>
      <modifiedWord/>
      <trackRevisions>false</trackRevisions>
    </reviewItem>
    <reviewItem>
      <errorID>61ce85d2-a561-452f-bd5e-3ac0264640a1</errorID>
      <errorWord>者或</errorWord>
      <group>L1_Word</group>
      <groupName>字词问题</groupName>
      <ability>L2_Typo</ability>
      <abilityName>字词错误</abilityName>
      <candidateList>
        <item>或者</item>
      </candidateList>
      <explain>❶〈副〉或许：你快走，～还赶得上车。❷〈连〉用在叙述句里，表示选择关系：这本书～你先看，～我先看。❸〈连〉表示等同关系：世界观～宇宙观是人们对整个世界的总的看法。</explain>
      <paraID>5FE5E94A</paraID>
      <start>73</start>
      <end>75</end>
      <status>unmodified</status>
      <modifiedWord/>
      <trackRevisions>false</trackRevisions>
    </reviewItem>
    <reviewItem>
      <errorID>1d4bf9ba-9b96-47b6-b175-5b6e612a5510</errorID>
      <errorWord>做出</errorWord>
      <group>L1_Word</group>
      <groupName>字词问题</groupName>
      <ability>L2_Typo</ability>
      <abilityName>字词错误</abilityName>
      <candidateList>
        <item>作出</item>
      </candidateList>
      <explain/>
      <paraID>6EF639E0</paraID>
      <start>13</start>
      <end>15</end>
      <status>unmodified</status>
      <modifiedWord/>
      <trackRevisions>false</trackRevisions>
    </reviewItem>
    <reviewItem>
      <errorID>55a4b21a-9ae3-41b7-9f18-eb19851d083a</errorID>
      <errorWord>、</errorWord>
      <group>L1_Word</group>
      <groupName>字词问题</groupName>
      <ability>L2_Typo</ability>
      <abilityName>字词错误</abilityName>
      <candidateList>
        <item>、宣</item>
      </candidateList>
      <explain/>
      <paraID>6561A3A3</paraID>
      <start>22</start>
      <end>23</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77be51-1e18-4eea-b450-f10b9e931a6f}">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28954</Words>
  <Characters>36886</Characters>
  <Lines>0</Lines>
  <Paragraphs>0</Paragraphs>
  <TotalTime>57</TotalTime>
  <ScaleCrop>false</ScaleCrop>
  <LinksUpToDate>false</LinksUpToDate>
  <CharactersWithSpaces>36940</CharactersWithSpaces>
  <Application>WPS Office_12.1.0.25835_F1E327BC-269C-435d-A152-05C5408002CA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2021-11-09T01:55:00Z</dcterms:created>
  <dc:creator>上海毅行体育</dc:creator>
  <cp:lastModifiedBy>夏阳</cp:lastModifiedBy>
  <dcterms:modified xsi:type="dcterms:W3CDTF">2026-03-31T04:55:22Z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2052-12.1.0.25835</vt:lpwstr>
  </property>
  <property fmtid="{D5CDD505-2E9C-101B-9397-08002B2CF9AE}" pid="3" name="ICV">
    <vt:lpwstr>971F03E6D013465DA0F4270A9AF30504_13</vt:lpwstr>
  </property>
  <property fmtid="{D5CDD505-2E9C-101B-9397-08002B2CF9AE}" pid="4" name="KSOTemplateDocerSaveRecord">
    <vt:lpwstr>eyJoZGlkIjoiY2JjOWRlYWY3M2Q0MjYzY2E1NTdlOWM2Zjk0NTk4MWUiLCJ1c2VySWQiOiIxMDI3NTA4NTQ3In0=</vt:lpwstr>
  </property>
</Properties>
</file>