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64B90">
      <w:pPr>
        <w:pStyle w:val="2"/>
        <w:keepNext w:val="0"/>
        <w:keepLines w:val="0"/>
        <w:widowControl/>
        <w:suppressLineNumbers w:val="0"/>
        <w:rPr>
          <w:rFonts w:hint="default" w:ascii="Times New Roman" w:hAnsi="Times New Roman" w:eastAsia="宋体" w:cs="Times New Roman"/>
          <w:sz w:val="15"/>
          <w:szCs w:val="15"/>
          <w:lang w:val="en-US" w:eastAsia="zh-CN"/>
        </w:rPr>
      </w:pPr>
      <w:r>
        <w:rPr>
          <w:rStyle w:val="11"/>
          <w:rFonts w:hint="default" w:ascii="Times New Roman" w:hAnsi="Times New Roman" w:cs="Times New Roman"/>
          <w:b/>
          <w:sz w:val="15"/>
          <w:szCs w:val="15"/>
          <w:lang w:val="en-US" w:eastAsia="zh-CN"/>
        </w:rPr>
        <w:t xml:space="preserve">                                                                    </w:t>
      </w:r>
    </w:p>
    <w:p w14:paraId="4E05EA19">
      <w:pPr>
        <w:pStyle w:val="2"/>
        <w:keepNext w:val="0"/>
        <w:keepLines w:val="0"/>
        <w:widowControl/>
        <w:suppressLineNumbers w:val="0"/>
        <w:jc w:val="center"/>
        <w:rPr>
          <w:rFonts w:hint="default" w:ascii="Times New Roman" w:hAnsi="Times New Roman" w:cs="Times New Roman"/>
          <w:sz w:val="84"/>
          <w:szCs w:val="84"/>
        </w:rPr>
      </w:pPr>
      <w:r>
        <w:rPr>
          <w:rStyle w:val="11"/>
          <w:rFonts w:hint="default" w:ascii="Times New Roman" w:hAnsi="Times New Roman" w:cs="Times New Roman"/>
          <w:b/>
          <w:sz w:val="84"/>
          <w:szCs w:val="84"/>
        </w:rPr>
        <w:t>龙舟赛事办赛指南</w:t>
      </w:r>
    </w:p>
    <w:p w14:paraId="7943F74E">
      <w:pPr>
        <w:pStyle w:val="3"/>
        <w:keepNext w:val="0"/>
        <w:keepLines w:val="0"/>
        <w:widowControl/>
        <w:suppressLineNumbers w:val="0"/>
        <w:jc w:val="center"/>
        <w:rPr>
          <w:rStyle w:val="11"/>
          <w:rFonts w:hint="default" w:ascii="Times New Roman" w:hAnsi="Times New Roman" w:eastAsia="仿宋" w:cs="Times New Roman"/>
          <w:b/>
          <w:sz w:val="52"/>
          <w:szCs w:val="52"/>
        </w:rPr>
      </w:pPr>
    </w:p>
    <w:p w14:paraId="3389E7C5">
      <w:pPr>
        <w:pStyle w:val="3"/>
        <w:keepNext w:val="0"/>
        <w:keepLines w:val="0"/>
        <w:widowControl/>
        <w:suppressLineNumbers w:val="0"/>
        <w:jc w:val="center"/>
        <w:rPr>
          <w:rStyle w:val="11"/>
          <w:rFonts w:hint="default" w:ascii="Times New Roman" w:hAnsi="Times New Roman" w:eastAsia="仿宋" w:cs="Times New Roman"/>
          <w:b/>
          <w:sz w:val="28"/>
          <w:szCs w:val="28"/>
          <w:lang w:val="en-US" w:eastAsia="zh-CN"/>
        </w:rPr>
      </w:pPr>
      <w:r>
        <w:rPr>
          <w:rStyle w:val="11"/>
          <w:rFonts w:hint="default" w:ascii="Times New Roman" w:hAnsi="Times New Roman" w:eastAsia="仿宋" w:cs="Times New Roman"/>
          <w:b/>
          <w:sz w:val="52"/>
          <w:szCs w:val="52"/>
        </w:rPr>
        <w:t xml:space="preserve">目 </w:t>
      </w:r>
      <w:r>
        <w:rPr>
          <w:rStyle w:val="11"/>
          <w:rFonts w:hint="default" w:ascii="Times New Roman" w:hAnsi="Times New Roman" w:eastAsia="仿宋" w:cs="Times New Roman"/>
          <w:b/>
          <w:sz w:val="52"/>
          <w:szCs w:val="52"/>
          <w:lang w:val="en-US" w:eastAsia="zh-CN"/>
        </w:rPr>
        <w:t>录</w:t>
      </w:r>
    </w:p>
    <w:p w14:paraId="7AEC688C">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 范围..................................................................................................................1</w:t>
      </w:r>
    </w:p>
    <w:p w14:paraId="59F431BE">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2 规范性引用文件..............................................................................................1</w:t>
      </w:r>
    </w:p>
    <w:p w14:paraId="44351CDE">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3 术语和定义......................................................................................................1</w:t>
      </w:r>
    </w:p>
    <w:p w14:paraId="4C067250">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4 总则..................................................................................................................2</w:t>
      </w:r>
    </w:p>
    <w:p w14:paraId="7787E417">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5 赛事分类..........................................................................................................2</w:t>
      </w:r>
    </w:p>
    <w:p w14:paraId="37375BF4">
      <w:pPr>
        <w:shd w:val="clear" w:color="auto" w:fill="FFFFFF"/>
        <w:adjustRightInd/>
        <w:snapToGrid/>
        <w:spacing w:after="0"/>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6 赛事申办.........................</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w:t>
      </w:r>
      <w:r>
        <w:rPr>
          <w:rFonts w:hint="default" w:ascii="Times New Roman" w:hAnsi="Times New Roman" w:eastAsia="仿宋_GB2312" w:cs="Times New Roman"/>
          <w:b/>
          <w:bCs/>
          <w:color w:val="auto"/>
          <w:sz w:val="28"/>
          <w:szCs w:val="28"/>
          <w:lang w:val="en-US" w:eastAsia="zh-CN"/>
        </w:rPr>
        <w:t>...................3</w:t>
      </w:r>
    </w:p>
    <w:p w14:paraId="41D4E73A">
      <w:pPr>
        <w:shd w:val="clear" w:color="auto" w:fill="FFFFFF"/>
        <w:adjustRightInd/>
        <w:snapToGrid/>
        <w:spacing w:after="0"/>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7 赛事名称 ...................</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w:t>
      </w:r>
      <w:r>
        <w:rPr>
          <w:rFonts w:hint="default" w:ascii="Times New Roman" w:hAnsi="Times New Roman" w:eastAsia="仿宋_GB2312" w:cs="Times New Roman"/>
          <w:b/>
          <w:bCs/>
          <w:color w:val="auto"/>
          <w:sz w:val="28"/>
          <w:szCs w:val="28"/>
          <w:lang w:val="en-US" w:eastAsia="zh-CN"/>
        </w:rPr>
        <w:t>........................4</w:t>
      </w:r>
    </w:p>
    <w:p w14:paraId="3B958802">
      <w:pPr>
        <w:shd w:val="clear" w:color="auto" w:fill="FFFFFF"/>
        <w:adjustRightInd/>
        <w:snapToGrid/>
        <w:spacing w:after="0"/>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8 赛事组织 ..........................</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w:t>
      </w:r>
      <w:r>
        <w:rPr>
          <w:rFonts w:hint="default" w:ascii="Times New Roman" w:hAnsi="Times New Roman" w:eastAsia="仿宋_GB2312" w:cs="Times New Roman"/>
          <w:b/>
          <w:bCs/>
          <w:color w:val="auto"/>
          <w:sz w:val="28"/>
          <w:szCs w:val="28"/>
          <w:lang w:val="en-US" w:eastAsia="zh-CN"/>
        </w:rPr>
        <w:t>.................5</w:t>
      </w:r>
    </w:p>
    <w:p w14:paraId="6FB9F57A">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 xml:space="preserve">9 </w:t>
      </w:r>
      <w:r>
        <w:rPr>
          <w:rFonts w:hint="default" w:ascii="Times New Roman" w:hAnsi="Times New Roman" w:eastAsia="仿宋_GB2312" w:cs="Times New Roman"/>
          <w:b/>
          <w:bCs/>
          <w:color w:val="auto"/>
          <w:sz w:val="28"/>
          <w:szCs w:val="28"/>
          <w:lang w:val="en-US" w:eastAsia="zh-CN"/>
        </w:rPr>
        <w:t>机构职责</w:t>
      </w:r>
      <w:r>
        <w:rPr>
          <w:rFonts w:hint="default" w:ascii="Times New Roman" w:hAnsi="Times New Roman" w:eastAsia="仿宋_GB2312" w:cs="Times New Roman"/>
          <w:b/>
          <w:bCs/>
          <w:color w:val="FF0000"/>
          <w:sz w:val="28"/>
          <w:szCs w:val="28"/>
          <w:lang w:val="en-US" w:eastAsia="zh-CN"/>
        </w:rPr>
        <w:t xml:space="preserve"> </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w:t>
      </w:r>
      <w:r>
        <w:rPr>
          <w:rFonts w:hint="eastAsia" w:ascii="Times New Roman" w:hAnsi="Times New Roman" w:eastAsia="仿宋_GB2312" w:cs="Times New Roman"/>
          <w:b/>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.....................6</w:t>
      </w:r>
    </w:p>
    <w:p w14:paraId="0DBC24F6">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10 安全与应急管理..........................................................................................11</w:t>
      </w:r>
    </w:p>
    <w:p w14:paraId="7C257487">
      <w:pPr>
        <w:shd w:val="clear" w:color="auto" w:fill="FFFFFF"/>
        <w:adjustRightInd/>
        <w:snapToGrid/>
        <w:spacing w:after="0"/>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11 赛事熔</w:t>
      </w:r>
      <w:r>
        <w:rPr>
          <w:rFonts w:hint="default" w:ascii="Times New Roman" w:hAnsi="Times New Roman" w:eastAsia="仿宋_GB2312" w:cs="Times New Roman"/>
          <w:b/>
          <w:bCs/>
          <w:color w:val="auto"/>
          <w:sz w:val="28"/>
          <w:szCs w:val="28"/>
          <w:lang w:val="en-US" w:eastAsia="zh-CN"/>
        </w:rPr>
        <w:t>断机制...................</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w:t>
      </w:r>
      <w:r>
        <w:rPr>
          <w:rFonts w:hint="default" w:ascii="Times New Roman" w:hAnsi="Times New Roman" w:eastAsia="仿宋_GB2312" w:cs="Times New Roman"/>
          <w:b/>
          <w:bCs/>
          <w:color w:val="auto"/>
          <w:sz w:val="28"/>
          <w:szCs w:val="28"/>
          <w:lang w:val="en-US" w:eastAsia="zh-CN"/>
        </w:rPr>
        <w:t>....................13</w:t>
      </w:r>
    </w:p>
    <w:p w14:paraId="0241DC5E">
      <w:pPr>
        <w:shd w:val="clear" w:color="auto" w:fill="FFFFFF"/>
        <w:adjustRightInd/>
        <w:snapToGrid/>
        <w:spacing w:after="0"/>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12 新闻宣传与舆情管理...................</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w:t>
      </w:r>
      <w:r>
        <w:rPr>
          <w:rFonts w:hint="default" w:ascii="Times New Roman" w:hAnsi="Times New Roman" w:eastAsia="仿宋_GB2312" w:cs="Times New Roman"/>
          <w:b/>
          <w:bCs/>
          <w:color w:val="auto"/>
          <w:sz w:val="28"/>
          <w:szCs w:val="28"/>
          <w:lang w:val="en-US" w:eastAsia="zh-CN"/>
        </w:rPr>
        <w:t>..............14</w:t>
      </w:r>
    </w:p>
    <w:p w14:paraId="0F17AEF1">
      <w:pPr>
        <w:shd w:val="clear" w:color="auto" w:fill="FFFFFF"/>
        <w:adjustRightInd/>
        <w:snapToGrid/>
        <w:spacing w:after="0"/>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13 赛事场地、器材与设施..................</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w:t>
      </w:r>
      <w:r>
        <w:rPr>
          <w:rFonts w:hint="default" w:ascii="Times New Roman" w:hAnsi="Times New Roman" w:eastAsia="仿宋_GB2312" w:cs="Times New Roman"/>
          <w:b/>
          <w:bCs/>
          <w:color w:val="auto"/>
          <w:sz w:val="28"/>
          <w:szCs w:val="28"/>
          <w:lang w:val="en-US" w:eastAsia="zh-CN"/>
        </w:rPr>
        <w:t>.............18</w:t>
      </w:r>
    </w:p>
    <w:p w14:paraId="222C137C">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 xml:space="preserve">14 体育展示 </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................................................................................................18</w:t>
      </w:r>
    </w:p>
    <w:p w14:paraId="39E90CA7">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 xml:space="preserve">15 </w:t>
      </w:r>
      <w:r>
        <w:rPr>
          <w:rFonts w:hint="default" w:ascii="Times New Roman" w:hAnsi="Times New Roman" w:eastAsia="仿宋_GB2312" w:cs="Times New Roman"/>
          <w:b/>
          <w:bCs/>
          <w:color w:val="auto"/>
          <w:sz w:val="28"/>
          <w:szCs w:val="28"/>
          <w:lang w:val="en-US" w:eastAsia="zh-CN"/>
        </w:rPr>
        <w:t>开幕式与颁奖仪式.................</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w:t>
      </w:r>
      <w:r>
        <w:rPr>
          <w:rFonts w:hint="default" w:ascii="Times New Roman" w:hAnsi="Times New Roman" w:eastAsia="仿宋_GB2312" w:cs="Times New Roman"/>
          <w:b/>
          <w:bCs/>
          <w:color w:val="auto"/>
          <w:sz w:val="28"/>
          <w:szCs w:val="28"/>
          <w:lang w:val="en-US" w:eastAsia="zh-CN"/>
        </w:rPr>
        <w:t>..................20</w:t>
      </w:r>
    </w:p>
    <w:p w14:paraId="31FB48E2">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 xml:space="preserve">16 参与者服务 </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.............................................................................................21</w:t>
      </w:r>
    </w:p>
    <w:p w14:paraId="0AD482AA">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 xml:space="preserve">17 礼宾服务 </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...............................................................................................25</w:t>
      </w:r>
    </w:p>
    <w:p w14:paraId="1664E7AA">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 xml:space="preserve">18 证件管理 </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...............................................................................................30</w:t>
      </w:r>
    </w:p>
    <w:p w14:paraId="39CAC5B7">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 xml:space="preserve">19 餐饮服务 </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...............................................................................................33</w:t>
      </w:r>
    </w:p>
    <w:p w14:paraId="59C96DD2">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 xml:space="preserve">20 住宿服务 </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...............................................................................................35</w:t>
      </w:r>
    </w:p>
    <w:p w14:paraId="28EDBDCD">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 xml:space="preserve">21 交通服务 </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...............................................................................................38</w:t>
      </w:r>
    </w:p>
    <w:p w14:paraId="0BFF8A3C">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 xml:space="preserve">22 医疗卫生服务 </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.......................................................................................40</w:t>
      </w:r>
    </w:p>
    <w:p w14:paraId="6BCA04D5">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 xml:space="preserve">23 安保服务 </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...............................................................................................44</w:t>
      </w:r>
    </w:p>
    <w:p w14:paraId="78AD2CE8">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 xml:space="preserve">24 人力资源和志愿者服务 </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.......................................................................50</w:t>
      </w:r>
    </w:p>
    <w:p w14:paraId="75D3E055">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 xml:space="preserve">25 赞助商服务 </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...........................................................................................52</w:t>
      </w:r>
    </w:p>
    <w:p w14:paraId="38EE1F4E">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26  附则 ........................................................................................................54</w:t>
      </w:r>
    </w:p>
    <w:p w14:paraId="6E91FF6C">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4ED51EB0">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4852F254">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0918E0E1">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346921AB">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7CD7DBF4">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608D35A3">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171FF1C9">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176C6D50">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297C94B0">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1D6A2B70">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461CEDFE">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0756E908">
      <w:pPr>
        <w:pStyle w:val="3"/>
        <w:keepNext w:val="0"/>
        <w:keepLines w:val="0"/>
        <w:widowControl/>
        <w:suppressLineNumbers w:val="0"/>
        <w:jc w:val="center"/>
        <w:rPr>
          <w:rFonts w:hint="default" w:ascii="Times New Roman" w:hAnsi="Times New Roman" w:eastAsia="仿宋_GB2312" w:cs="Times New Roman"/>
          <w:b w:val="0"/>
          <w:bCs w:val="0"/>
          <w:color w:val="000000" w:themeColor="text1"/>
          <w:kern w:val="2"/>
          <w:sz w:val="44"/>
          <w:szCs w:val="44"/>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前 言</w:t>
      </w:r>
    </w:p>
    <w:p w14:paraId="552D9369">
      <w:pPr>
        <w:pStyle w:val="8"/>
        <w:keepNext w:val="0"/>
        <w:keepLines w:val="0"/>
        <w:widowControl/>
        <w:suppressLineNumbers w:val="0"/>
        <w:ind w:firstLine="560" w:firstLineChars="200"/>
        <w:rPr>
          <w:rFonts w:hint="default"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t>本办赛指南依据《群众体育赛事活动办赛指南—编制内容与评估指引》（TY/T 1103-2023）并结合龙舟赛事实际需求</w:t>
      </w:r>
      <w:r>
        <w:rPr>
          <w:rFonts w:hint="eastAsia"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t>制定</w:t>
      </w:r>
      <w:r>
        <w:rPr>
          <w:rFonts w:hint="default"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t>，旨在规范龙舟赛事活动的组织与管理。</w:t>
      </w:r>
    </w:p>
    <w:p w14:paraId="13F5CE9B">
      <w:pPr>
        <w:pStyle w:val="8"/>
        <w:keepNext w:val="0"/>
        <w:keepLines w:val="0"/>
        <w:widowControl/>
        <w:suppressLineNumbers w:val="0"/>
        <w:ind w:firstLine="560" w:firstLineChars="200"/>
        <w:rPr>
          <w:rFonts w:hint="default"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t>本</w:t>
      </w:r>
      <w:r>
        <w:rPr>
          <w:rFonts w:hint="eastAsia"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t>办赛指南</w:t>
      </w:r>
      <w:r>
        <w:rPr>
          <w:rFonts w:hint="default"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t>的某些内容可能涉及专利。本文件的发布机构不承担识别专利的责任。</w:t>
      </w:r>
    </w:p>
    <w:p w14:paraId="11DD39CD">
      <w:pPr>
        <w:pStyle w:val="8"/>
        <w:keepNext w:val="0"/>
        <w:keepLines w:val="0"/>
        <w:widowControl/>
        <w:suppressLineNumbers w:val="0"/>
        <w:ind w:firstLine="560" w:firstLineChars="200"/>
        <w:rPr>
          <w:rFonts w:hint="default"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t>本</w:t>
      </w:r>
      <w:r>
        <w:rPr>
          <w:rFonts w:hint="eastAsia"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t>办赛指南</w:t>
      </w:r>
      <w:r>
        <w:rPr>
          <w:rFonts w:hint="default"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t>由国家体育总局社会体育指导中心</w:t>
      </w:r>
      <w:r>
        <w:rPr>
          <w:rFonts w:hint="eastAsia"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t>、中国龙舟协会组织起草颁布</w:t>
      </w:r>
      <w:r>
        <w:rPr>
          <w:rFonts w:hint="default"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t>。</w:t>
      </w:r>
    </w:p>
    <w:p w14:paraId="370EB88D">
      <w:pPr>
        <w:pStyle w:val="2"/>
        <w:keepNext w:val="0"/>
        <w:keepLines w:val="0"/>
        <w:widowControl/>
        <w:suppressLineNumbers w:val="0"/>
        <w:jc w:val="center"/>
        <w:rPr>
          <w:rStyle w:val="11"/>
          <w:rFonts w:hint="default" w:ascii="Times New Roman" w:hAnsi="Times New Roman" w:eastAsia="仿宋" w:cs="Times New Roman"/>
          <w:b/>
          <w:sz w:val="44"/>
          <w:szCs w:val="44"/>
        </w:rPr>
      </w:pPr>
    </w:p>
    <w:p w14:paraId="4EDF59B0">
      <w:pPr>
        <w:pStyle w:val="2"/>
        <w:keepNext w:val="0"/>
        <w:keepLines w:val="0"/>
        <w:widowControl/>
        <w:suppressLineNumbers w:val="0"/>
        <w:jc w:val="center"/>
        <w:rPr>
          <w:rStyle w:val="11"/>
          <w:rFonts w:hint="default" w:ascii="Times New Roman" w:hAnsi="Times New Roman" w:eastAsia="仿宋" w:cs="Times New Roman"/>
          <w:b/>
          <w:sz w:val="44"/>
          <w:szCs w:val="44"/>
        </w:rPr>
      </w:pPr>
    </w:p>
    <w:p w14:paraId="6210657F">
      <w:pPr>
        <w:pStyle w:val="2"/>
        <w:keepNext w:val="0"/>
        <w:keepLines w:val="0"/>
        <w:widowControl/>
        <w:suppressLineNumbers w:val="0"/>
        <w:jc w:val="center"/>
        <w:rPr>
          <w:rStyle w:val="11"/>
          <w:rFonts w:hint="default" w:ascii="Times New Roman" w:hAnsi="Times New Roman" w:eastAsia="仿宋" w:cs="Times New Roman"/>
          <w:b/>
          <w:sz w:val="44"/>
          <w:szCs w:val="44"/>
        </w:rPr>
      </w:pPr>
    </w:p>
    <w:p w14:paraId="37FB4763">
      <w:pPr>
        <w:pStyle w:val="2"/>
        <w:keepNext w:val="0"/>
        <w:keepLines w:val="0"/>
        <w:widowControl/>
        <w:suppressLineNumbers w:val="0"/>
        <w:jc w:val="center"/>
        <w:rPr>
          <w:rStyle w:val="11"/>
          <w:rFonts w:hint="default" w:ascii="Times New Roman" w:hAnsi="Times New Roman" w:eastAsia="仿宋" w:cs="Times New Roman"/>
          <w:b/>
          <w:sz w:val="44"/>
          <w:szCs w:val="44"/>
        </w:rPr>
      </w:pPr>
    </w:p>
    <w:p w14:paraId="1971CAE3">
      <w:pPr>
        <w:pStyle w:val="2"/>
        <w:keepNext w:val="0"/>
        <w:keepLines w:val="0"/>
        <w:widowControl/>
        <w:suppressLineNumbers w:val="0"/>
        <w:jc w:val="center"/>
        <w:rPr>
          <w:rStyle w:val="11"/>
          <w:rFonts w:hint="default" w:ascii="Times New Roman" w:hAnsi="Times New Roman" w:eastAsia="仿宋" w:cs="Times New Roman"/>
          <w:b/>
          <w:sz w:val="44"/>
          <w:szCs w:val="44"/>
        </w:rPr>
      </w:pPr>
    </w:p>
    <w:p w14:paraId="46C70D1D">
      <w:pPr>
        <w:pStyle w:val="2"/>
        <w:keepNext w:val="0"/>
        <w:keepLines w:val="0"/>
        <w:widowControl/>
        <w:suppressLineNumbers w:val="0"/>
        <w:jc w:val="center"/>
        <w:rPr>
          <w:rStyle w:val="11"/>
          <w:rFonts w:hint="default" w:ascii="Times New Roman" w:hAnsi="Times New Roman" w:eastAsia="仿宋" w:cs="Times New Roman"/>
          <w:b/>
          <w:sz w:val="44"/>
          <w:szCs w:val="44"/>
        </w:rPr>
      </w:pPr>
    </w:p>
    <w:p w14:paraId="1721E2AE">
      <w:pPr>
        <w:pStyle w:val="2"/>
        <w:keepNext w:val="0"/>
        <w:keepLines w:val="0"/>
        <w:widowControl/>
        <w:suppressLineNumbers w:val="0"/>
        <w:jc w:val="center"/>
        <w:rPr>
          <w:rStyle w:val="11"/>
          <w:rFonts w:hint="default" w:ascii="Times New Roman" w:hAnsi="Times New Roman" w:eastAsia="仿宋" w:cs="Times New Roman"/>
          <w:b/>
          <w:sz w:val="44"/>
          <w:szCs w:val="44"/>
        </w:rPr>
      </w:pPr>
    </w:p>
    <w:p w14:paraId="5B760B78">
      <w:pPr>
        <w:pStyle w:val="2"/>
        <w:keepNext w:val="0"/>
        <w:keepLines w:val="0"/>
        <w:widowControl/>
        <w:suppressLineNumbers w:val="0"/>
        <w:jc w:val="center"/>
        <w:rPr>
          <w:rStyle w:val="11"/>
          <w:rFonts w:hint="default" w:ascii="Times New Roman" w:hAnsi="Times New Roman" w:eastAsia="仿宋" w:cs="Times New Roman"/>
          <w:b/>
          <w:sz w:val="44"/>
          <w:szCs w:val="44"/>
        </w:rPr>
      </w:pPr>
    </w:p>
    <w:p w14:paraId="1862E475">
      <w:pPr>
        <w:pStyle w:val="2"/>
        <w:keepNext w:val="0"/>
        <w:keepLines w:val="0"/>
        <w:widowControl/>
        <w:suppressLineNumbers w:val="0"/>
        <w:jc w:val="center"/>
        <w:rPr>
          <w:rStyle w:val="11"/>
          <w:rFonts w:hint="default" w:ascii="Times New Roman" w:hAnsi="Times New Roman" w:eastAsia="仿宋" w:cs="Times New Roman"/>
          <w:b/>
          <w:sz w:val="44"/>
          <w:szCs w:val="44"/>
        </w:rPr>
      </w:pPr>
      <w:r>
        <w:rPr>
          <w:rStyle w:val="11"/>
          <w:rFonts w:hint="default" w:ascii="Times New Roman" w:hAnsi="Times New Roman" w:eastAsia="仿宋" w:cs="Times New Roman"/>
          <w:b/>
          <w:sz w:val="44"/>
          <w:szCs w:val="44"/>
        </w:rPr>
        <w:t>龙舟赛事办赛指南</w:t>
      </w:r>
    </w:p>
    <w:p w14:paraId="237F583A">
      <w:pPr>
        <w:rPr>
          <w:rFonts w:hint="default"/>
        </w:rPr>
      </w:pPr>
    </w:p>
    <w:p w14:paraId="043710F8">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 范围</w:t>
      </w:r>
    </w:p>
    <w:p w14:paraId="68E472C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本文件规定了龙舟赛事活动的组织方式、申办程序、安全保障、参赛要求和赛事运营服务规范，适用于全国范围内的各级龙舟赛事活动，包括国际赛事、全国赛事、地方性赛事以及传统龙舟活动。</w:t>
      </w:r>
    </w:p>
    <w:p w14:paraId="089A2995">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52DC3D88">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2 规范性引用文件</w:t>
      </w:r>
    </w:p>
    <w:p w14:paraId="584BC4C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下列文件中的内容通过文中的规范性引用构成本文件必不可少的条款。其中，注日期的引用文件，仅该日期对应的版本适用于本文件；不注日期的引用文件，其最新版本（包括所有的修改单）适用于本文件。</w:t>
      </w:r>
    </w:p>
    <w:p w14:paraId="51DB32D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GB/T 22185 体育场馆公共安全通用要求</w:t>
      </w:r>
    </w:p>
    <w:p w14:paraId="08FEAD4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GB/T 33170.3 大型活动安全要求 第3部分：场地布局和安全导向标识。</w:t>
      </w:r>
    </w:p>
    <w:p w14:paraId="047F99E4">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0C21C42C">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3 术语和定义</w:t>
      </w:r>
    </w:p>
    <w:p w14:paraId="29E6924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3.1 体育赛事活动（sports events）</w:t>
      </w:r>
    </w:p>
    <w:p w14:paraId="21FD2B5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以体育运动项目为内容，以开展竞技能力较量或丰富体育文化生活为目的，依法组织和举办的群众竞技比赛或运动健身活动。</w:t>
      </w:r>
    </w:p>
    <w:p w14:paraId="0CE6C1C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3.2 龙舟赛事办赛指南（guide for organizing dragon boat events）</w:t>
      </w:r>
    </w:p>
    <w:p w14:paraId="60DD4CF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结合各级各类龙舟赛事活动特点，为举办龙舟赛事活动提供指导的文件。</w:t>
      </w:r>
    </w:p>
    <w:p w14:paraId="0EB9EBCE">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63295A80">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4总则</w:t>
      </w:r>
    </w:p>
    <w:p w14:paraId="5E42B0A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4.1 编制目地</w:t>
      </w:r>
    </w:p>
    <w:p w14:paraId="4666BFA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为贯彻中央简政放权、放管结合、优化服务的总体部署，贯彻落实《体育赛事活动管理办法》（国家体育总局令2023年31号）、《关于进一步加强体育赛事活动监督管理的意见&gt;的通知》（体规字﹝2021﹞3号），规范全国各类龙舟赛事活动的组织管理，提升龙舟赛事活动办赛服务水平，促进龙舟运动健康发展，制定本指南。</w:t>
      </w:r>
    </w:p>
    <w:p w14:paraId="17EF2D5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4.2 适用范围</w:t>
      </w:r>
    </w:p>
    <w:p w14:paraId="6ED233F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本指南所指的龙舟赛事活动（以下简称龙舟赛事），是指在中国境内（不含香港特别行政区、澳门特别行政区、台湾省）举办的各类龙舟赛事及相关活动（含中华龙舟大赛、中国龙舟公开赛、中国龙舟大奖赛、综合性运动会龙舟赛、全国龙舟锦标赛、全国青少年龙舟锦标赛、5人龙舟赛、邀请赛、拉力赛、龙舟往返赛、拔河赛、传统龙舟赛、冰上赛及各级地方性龙舟赛等）。</w:t>
      </w:r>
    </w:p>
    <w:p w14:paraId="70EE678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4.3 责任分工</w:t>
      </w:r>
    </w:p>
    <w:p w14:paraId="1120789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按照2021年《关于进一步加强体育赛事活动安全监管服务的意见》中提出的“谁主办、谁负责”、“谁审批、谁负责”、“谁主管、谁负责”的原则，龙舟赛事主办、承办单位对龙舟赛事负有主体责任，国家体育总局、中国龙舟协会、各省市龙舟主管部门和各级龙舟协会在各自职责范围内对龙舟赛事负有监管责任，各级体育主管部门对所辖区域内龙舟赛事活动负有领导责任。</w:t>
      </w:r>
    </w:p>
    <w:p w14:paraId="7E454C0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4.4 监管与支持</w:t>
      </w:r>
    </w:p>
    <w:p w14:paraId="25BE845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龙舟赛事主办、承办单位应主动联系本区域内龙舟主管部门和龙舟协会，寻求业务指导、技术支持与服务，主动接受监管。</w:t>
      </w:r>
    </w:p>
    <w:p w14:paraId="6376D661">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638AB6C3">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5 赛事分类</w:t>
      </w:r>
    </w:p>
    <w:p w14:paraId="1FD667D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5.1在我国举办的国际性龙舟赛事</w:t>
      </w:r>
    </w:p>
    <w:p w14:paraId="7F59BEE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A类赛事：由国际体育组织主办的综合性或单项龙舟赛事；由国家体育总局主办或参与主办的重要国际龙舟赛事；由国家体育总局或中国龙舟协会主办的跨省（区、市）的国际龙舟赛事。</w:t>
      </w:r>
    </w:p>
    <w:p w14:paraId="30FE698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B类赛事：由国家体育总局或中国龙舟协会主导，与地方共同主办或交由地方承办的国际龙舟赛事。</w:t>
      </w:r>
    </w:p>
    <w:p w14:paraId="2B24565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C类赛事：地方自行举办的国际龙舟赛事；由地方主导，国家体育总局或中国龙舟协会参与主办、协办的国际龙舟赛事。</w:t>
      </w:r>
    </w:p>
    <w:p w14:paraId="2C0FF9D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5.2全国性龙舟赛事</w:t>
      </w:r>
    </w:p>
    <w:p w14:paraId="7BF1024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国家体育总局或中国龙舟协会主办的龙舟赛事；</w:t>
      </w:r>
    </w:p>
    <w:p w14:paraId="67F12EB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全国性行业体育协会主办的相关龙舟赛事。</w:t>
      </w:r>
    </w:p>
    <w:p w14:paraId="10240DE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5.3地方性龙舟赛事</w:t>
      </w:r>
    </w:p>
    <w:p w14:paraId="2A9A02E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地方政府体育主管部门或地方龙舟协会主办的龙舟赛事。</w:t>
      </w:r>
    </w:p>
    <w:p w14:paraId="5E08B340">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3B6699A3">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6赛事申办</w:t>
      </w:r>
    </w:p>
    <w:p w14:paraId="2EC4709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6.1在我国举办的国际性龙舟赛事申办</w:t>
      </w:r>
    </w:p>
    <w:p w14:paraId="3091FEE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在我国申办国际龙舟赛事活动，应当按照程序报批，未经批准，不得申办。</w:t>
      </w:r>
    </w:p>
    <w:p w14:paraId="1C12EBD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以下国际龙舟赛事活动需列入体育总局年度外事活动计划，并按照有关规定和审批权限报体育总局或国务院审批：</w:t>
      </w:r>
    </w:p>
    <w:p w14:paraId="10B804E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Ａ类赛事：体育总局主办或共同主办的重要国际龙舟赛事活动，国际体育组织（国际龙舟联合会（IDBF）、亚洲龙舟联合会（ADBF）等）主办的世界锦标赛、世界杯赛、亚洲锦标赛、亚洲杯赛，涉及亚运会资格的赛事，体育总局社会体育指导中心或中国龙舟协会主办的跨省（区、市）国际龙舟赛事活动，涉及海域、空域及地面敏感区域等特殊领域的国际龙舟赛事活动。</w:t>
      </w:r>
    </w:p>
    <w:p w14:paraId="249729E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B类赛事：地方自行主办，或与体育总局社会体育指导中心或中国龙舟协会共同主办但由地方主导的国际龙舟赛事活动，由有外事审批权的地方人民政府或其有关部门审批，不列入体育总局外事活动计划，但应统一向体育总局备案。</w:t>
      </w:r>
    </w:p>
    <w:p w14:paraId="774888D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Ｃ类赛事：其他商业性、群众性国际龙舟赛事活动，应当按照属地管理原则，根据地方有关规定办理相关手续。地方体育行政部门提供业务指导和技术支持。</w:t>
      </w:r>
    </w:p>
    <w:p w14:paraId="3A71404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6.2全国性和地方性龙舟赛事申办</w:t>
      </w:r>
    </w:p>
    <w:p w14:paraId="25BCB92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全国性和地方性龙舟赛事：由主办单位自行确定承办单位和举办地点。</w:t>
      </w:r>
    </w:p>
    <w:p w14:paraId="54186F6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群众性、商业性龙舟赛事无需审批，合法的法律主体均可依法组织和举办，自行确定或协商确定举办地点。</w:t>
      </w:r>
    </w:p>
    <w:p w14:paraId="71548BB3">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173EFACB">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7赛事名称</w:t>
      </w:r>
    </w:p>
    <w:p w14:paraId="6627FDF5">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7.1龙舟赛事的名称应当与实际内容一致。</w:t>
      </w:r>
    </w:p>
    <w:p w14:paraId="13A11E2A">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7.2龙舟赛事的名称应与主办方开展赛事活动的行业领域和人群范围相一致。</w:t>
      </w:r>
    </w:p>
    <w:p w14:paraId="2B47FF9C">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7.3不得侵犯其他自然人、法人或非法人组织的合法权益；不得含有欺骗或可能造成公众误解的文字；不得使用具有宗教含义的文字；按照国家法律法规、政策要求使用“一带一路”、“金砖国家”、“上合组织”等含有政治、外交属性的文字。</w:t>
      </w:r>
    </w:p>
    <w:p w14:paraId="27469365">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7.4 体育总局社体中心或中国龙舟协会主办或作为主办单位之一的龙舟赛事，其名称可以使用“中国”、“全国”、“国家”、“中华”字样或具有类似含义的词汇。未经体育总局社体中心或中国龙舟协会确认，其他龙舟赛事不得冠以“中国”、“全国”、“国家”、“中华”字样或具有类似含义的词汇。</w:t>
      </w:r>
    </w:p>
    <w:p w14:paraId="5991590A">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7.5未经国际龙舟联合会（IDBF）、亚洲龙舟联合会（ADBF）等合法国际龙舟组织确认，龙舟赛事名称不得冠以“世界”、“国际”、“洲际”、“全球”、“亚洲”字样或具有类似含义的词汇。</w:t>
      </w:r>
    </w:p>
    <w:p w14:paraId="1372A733">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3A899359">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8赛事组织</w:t>
      </w:r>
    </w:p>
    <w:p w14:paraId="472290D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8.1组织委员会</w:t>
      </w:r>
    </w:p>
    <w:p w14:paraId="141C811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龙舟赛事应设立赛事组织委员会（以下简称组委会）。组委会一般由赛事主办和承办单位的领导与相关人员共同组成，统一领导和落实赛事的各项筹备工作。</w:t>
      </w:r>
    </w:p>
    <w:p w14:paraId="2490630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组委会下设办公室、竞赛处、场地器材处、后勤接待处、新闻宣传处、安全保卫处、医疗卫生处等若干工作机构。</w:t>
      </w:r>
    </w:p>
    <w:p w14:paraId="52332AE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8.2工作机构</w:t>
      </w:r>
    </w:p>
    <w:p w14:paraId="1001BE5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工作机构在组委会的直接领导和管理下履行各自工作职责，涵盖的工作有综合事务、竞赛、场地器材、信息技术、媒体运行、单项协会服务、运动员服务、技术官员服务、计时计分与成绩处理、体育展示、颁奖仪式、交通服务、医疗服务、观众服务、安全保卫、兴奋剂检查、财务审计、志愿者工作等。</w:t>
      </w:r>
    </w:p>
    <w:p w14:paraId="2DEF714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工作机构的设定，可视赛事的规格和规模而定。规格高、规模大的赛事一般要多设一些工作机构，规模较小的赛事可合并一些工作内容和工作机构，但各项工作内容要在工作机构中体现出来。</w:t>
      </w:r>
    </w:p>
    <w:p w14:paraId="3CB748E0">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55D8DB86">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9 机构职责</w:t>
      </w:r>
    </w:p>
    <w:p w14:paraId="7B6A88C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9.1办公室</w:t>
      </w:r>
    </w:p>
    <w:p w14:paraId="410D559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制定组委会工作方案、制度、计划、经费预算等；</w:t>
      </w:r>
    </w:p>
    <w:p w14:paraId="379956E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安排、协调、汇总、督办各处室阶段工作；</w:t>
      </w:r>
    </w:p>
    <w:p w14:paraId="10A7959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组织和落实各项会议；</w:t>
      </w:r>
    </w:p>
    <w:p w14:paraId="08237CA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负责组委会的文档工作；</w:t>
      </w:r>
    </w:p>
    <w:p w14:paraId="5471091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拟定组委会内部机构设置、工作职责和人员调配方案；</w:t>
      </w:r>
    </w:p>
    <w:p w14:paraId="0F76F16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负责落实人事管理工作的规章制度；</w:t>
      </w:r>
    </w:p>
    <w:p w14:paraId="6117D6C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负责人员注册和证件管理工作；</w:t>
      </w:r>
    </w:p>
    <w:p w14:paraId="6A9792B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负责准备竞赛器材，配置各处室的办公物资，并按时到位；</w:t>
      </w:r>
    </w:p>
    <w:p w14:paraId="53E565E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负责票务、信息咨询、失物招领、展示表演、观众组织等工作；</w:t>
      </w:r>
    </w:p>
    <w:p w14:paraId="22842C5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根据竞赛日程和组委会要求，负责邀请颁奖嘉宾；</w:t>
      </w:r>
    </w:p>
    <w:p w14:paraId="43A4AC2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制订市场开发计划，在允许的范围内进行市场开发，为赞助商做好权益兑现和服务接待等工作；</w:t>
      </w:r>
    </w:p>
    <w:p w14:paraId="1F6D9C7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督查预算执行情况，严格执行财务管理制度和开支标准有关规定，负责日常经费的使用管理；</w:t>
      </w:r>
    </w:p>
    <w:p w14:paraId="4B17D5C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负责志愿者的岗位设置，编制志愿者服务方案，招募志愿者并对志愿者进行通用岗位和专业岗位的培训；</w:t>
      </w:r>
    </w:p>
    <w:p w14:paraId="6C70D94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分析可能发生的各种突发事件，制定应急预案，并做好培训、演练与应急处置工作；</w:t>
      </w:r>
    </w:p>
    <w:p w14:paraId="404C7C8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完成组委会交办的其他工作。</w:t>
      </w:r>
    </w:p>
    <w:p w14:paraId="5151BA6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9.2竞赛处</w:t>
      </w:r>
    </w:p>
    <w:p w14:paraId="476800B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全面负责竞赛的筹备和组织实施工作；组织比赛，及时处理紧急事件，并上报组委会；协调相关处室进行赛风赛纪的监察工作；</w:t>
      </w:r>
    </w:p>
    <w:p w14:paraId="7BEF5DE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编排竞赛日程、活动日程及训练日程，编制秩序册和成绩册，印发成绩公告；</w:t>
      </w:r>
    </w:p>
    <w:p w14:paraId="28F1DAA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规划竞赛分区（FOP），设计FOP布局、比赛流线图以及人员流线图；</w:t>
      </w:r>
    </w:p>
    <w:p w14:paraId="615D346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编制竞赛器材和物资计划，指导比赛场地布置，维护和管理器材设施，确保比赛正常运行；</w:t>
      </w:r>
    </w:p>
    <w:p w14:paraId="4FB0D63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负责各比赛运行区域以及附赛道、警戒水域的管理；</w:t>
      </w:r>
    </w:p>
    <w:p w14:paraId="4E170B0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负责选调裁判员，制定裁判员、辅助裁判员及志愿者的岗位设置与分工，组织上述人员进行业务培训学习；</w:t>
      </w:r>
    </w:p>
    <w:p w14:paraId="650E8F2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负责协调配合电子计时系统调试与信号接收；</w:t>
      </w:r>
    </w:p>
    <w:p w14:paraId="7A96272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收集体育展示音频、视频和文字素材，制定体育展示工作方案和现场宣告执行脚本；</w:t>
      </w:r>
    </w:p>
    <w:p w14:paraId="6D67E8A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制定颁奖仪式工作方案，组织实施颁奖工作；</w:t>
      </w:r>
    </w:p>
    <w:p w14:paraId="4655AD4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负责组织“体育道德风尚奖”运动队、运动员、裁判员的评选活动；</w:t>
      </w:r>
    </w:p>
    <w:p w14:paraId="5FE56FC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按照国家体育总局反兴奋剂中心的要求配备相应的物资，选派专人协助做好反兴奋检查工作；</w:t>
      </w:r>
    </w:p>
    <w:p w14:paraId="7FFF2B1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分析比赛时可能发生的各种突发事件，制定应急预案，并做好培训、演练与应急处置工作；</w:t>
      </w:r>
    </w:p>
    <w:p w14:paraId="7B24275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完成组委会交办的其他工作。</w:t>
      </w:r>
    </w:p>
    <w:p w14:paraId="3505C0F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9.3场地器材处</w:t>
      </w:r>
    </w:p>
    <w:p w14:paraId="38C8C2E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协助主办单位对比赛水域和竞赛场地进行综合检查验收；</w:t>
      </w:r>
    </w:p>
    <w:p w14:paraId="08E93B4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负责竞赛场地的布置、比赛龙舟称重以及其他比赛设备的安装与调试，并确保正常运行；</w:t>
      </w:r>
    </w:p>
    <w:p w14:paraId="76950C0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落实竞赛场地的基础信息网络、音视频播放系统、LED大屏幕等基础设施；</w:t>
      </w:r>
    </w:p>
    <w:p w14:paraId="4EFC646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负责比赛场地内外形象景观的设置与维护，完成比赛场馆周边环境整治，设置必要的指示、提示标识；</w:t>
      </w:r>
    </w:p>
    <w:p w14:paraId="43A5A6C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负责赛时对场地硬件设施的管理、维护、修缮及日常巡查，确保正常运转；</w:t>
      </w:r>
    </w:p>
    <w:p w14:paraId="44FCF45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负责场地内各个区域的卫生清洁服务与废弃物分类收集和处理，为赛事创造优良环境；</w:t>
      </w:r>
    </w:p>
    <w:p w14:paraId="3735AC3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分析赛时可能发生的各种突发事件，制定应急预案，并做好培训、演练与应急处置工作；</w:t>
      </w:r>
    </w:p>
    <w:p w14:paraId="211C2C7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完成组委会交办的其他工作。</w:t>
      </w:r>
    </w:p>
    <w:p w14:paraId="50E3C34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9.4后勤接待处</w:t>
      </w:r>
    </w:p>
    <w:p w14:paraId="4CC83F8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编制贵宾、技术官员、裁判员、运动队迎送、接待、食宿、交通等工作方案，制定详细实施计划；</w:t>
      </w:r>
    </w:p>
    <w:p w14:paraId="393A271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为组委会提供行政后勤支持；</w:t>
      </w:r>
    </w:p>
    <w:p w14:paraId="06FA594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确保交通安全和食品安全，杜绝发生食源性兴奋剂事件；</w:t>
      </w:r>
    </w:p>
    <w:p w14:paraId="4D409E7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分析赛时可能发生的各种突发事件，制定应急预案，并做好培训、演练与应急处置工作；</w:t>
      </w:r>
    </w:p>
    <w:p w14:paraId="430B02C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完成组委会交办的其他工作。</w:t>
      </w:r>
    </w:p>
    <w:p w14:paraId="18759EA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9.5新闻宣传处</w:t>
      </w:r>
    </w:p>
    <w:p w14:paraId="7355104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引导新闻单位积极做好比赛之前的舆论宣传和比赛期间赛事的全面报道；</w:t>
      </w:r>
    </w:p>
    <w:p w14:paraId="215EBEA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负责准备好赛场内外新闻宣传设施条件，落实环境布置工作；</w:t>
      </w:r>
    </w:p>
    <w:p w14:paraId="4AC3CE9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与相关部门协调，安排好赛场内摄影（像）记者、电视转播人员和场外媒体记者的的工作位置；</w:t>
      </w:r>
    </w:p>
    <w:p w14:paraId="54D8BE0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负责提供赛事相关的宣传材料；</w:t>
      </w:r>
    </w:p>
    <w:p w14:paraId="1A002B6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落实新闻发布场所，组织好新闻发布会；</w:t>
      </w:r>
    </w:p>
    <w:p w14:paraId="138ED69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分析赛时可能发生的各种突发事件，制定应急预案，并做好培训、演练与应急处置工作；</w:t>
      </w:r>
    </w:p>
    <w:p w14:paraId="69CBC24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完成组委会交办的其他工作。</w:t>
      </w:r>
    </w:p>
    <w:p w14:paraId="48E868E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9.6安全保卫处</w:t>
      </w:r>
    </w:p>
    <w:p w14:paraId="170CE9E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与公安、海事部门密切联系，明确安保指挥体系和责任体系，保障赛事运行安全；</w:t>
      </w:r>
    </w:p>
    <w:p w14:paraId="65759B5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负责赛会酒店、比赛相关水域的安全保卫工作；</w:t>
      </w:r>
    </w:p>
    <w:p w14:paraId="6BD5CF7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b w:val="0"/>
          <w:bCs w:val="0"/>
          <w:kern w:val="0"/>
          <w:sz w:val="28"/>
          <w:szCs w:val="28"/>
          <w:lang w:val="en-US" w:eastAsia="zh-CN" w:bidi="ar"/>
        </w:rPr>
        <w:t xml:space="preserve">— —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做好比赛现场的秩序维护，严密注意两岸观众及上游水域巡逻守护，及时处置各类紧急突发事件；</w:t>
      </w:r>
    </w:p>
    <w:p w14:paraId="0486020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分析可能发生的各种突发事件，制定应急预案，并做好培训、演练与应急处置工作；</w:t>
      </w:r>
    </w:p>
    <w:p w14:paraId="24084D5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完成组委会交办的其他工作。</w:t>
      </w:r>
    </w:p>
    <w:p w14:paraId="6D8CB09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9.7医疗卫生处</w:t>
      </w:r>
    </w:p>
    <w:p w14:paraId="495E84F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综合协调比赛现场及相关宾馆的医疗救护、卫生应急处置、公共场所卫生、生活饮用水、环境卫生、传染病防控、病媒生物防治及控制吸烟的监督检查工作，制定工作方案和实施计划；</w:t>
      </w:r>
    </w:p>
    <w:p w14:paraId="4A1FCCE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落实就近综合性医疗救护医院作为赛事的官方指定医院，开通绿色通道；</w:t>
      </w:r>
    </w:p>
    <w:p w14:paraId="410567B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组织相关人员的专业技能培训和上岗培训；</w:t>
      </w:r>
    </w:p>
    <w:p w14:paraId="07693D4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落实救护车及必要的药品和医疗设备；</w:t>
      </w:r>
    </w:p>
    <w:p w14:paraId="6B60F6E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成立紧急救护、卫生监督、医疗保健工作应急小组，制定突发事件应急预案并组织应急演练；</w:t>
      </w:r>
    </w:p>
    <w:p w14:paraId="01EBFC0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cs="Times New Roman" w:eastAsiaTheme="minorEastAsia"/>
          <w:b w:val="0"/>
          <w:bCs w:val="0"/>
          <w:kern w:val="0"/>
          <w:sz w:val="28"/>
          <w:szCs w:val="28"/>
          <w:lang w:val="en-US" w:eastAsia="zh-CN" w:bidi="ar"/>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完成组委会交办的其他工作。</w:t>
      </w:r>
    </w:p>
    <w:p w14:paraId="455AECA0">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2E947DB2">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10 安全与应急管理</w:t>
      </w:r>
    </w:p>
    <w:p w14:paraId="4612A6B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10.1食宿交通保障</w:t>
      </w:r>
    </w:p>
    <w:p w14:paraId="0662765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运动队和裁判员驻地必须分两处安排，酒店规格不低于三星级标准。驻地到赛场步行需10分钟以上的须有车辆接送。赛事承办方根据竞赛需要安排好运动员驻地循环班车的运行。</w:t>
      </w:r>
    </w:p>
    <w:p w14:paraId="6FCE1B6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10.2水上安全保障</w:t>
      </w:r>
    </w:p>
    <w:p w14:paraId="0847E5B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10.2.1安全岗位</w:t>
      </w:r>
    </w:p>
    <w:p w14:paraId="02C53ED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龙舟比赛期间，必须全面负责各参赛队、裁判员、工作人员以及所有参与者的安全，必须有专业人员负责安全保卫工作，保证比赛期间的秩序，做好各方面参赛人员的安全保障工作。</w:t>
      </w:r>
    </w:p>
    <w:p w14:paraId="2D83F8A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大会设安全主任和安全员。安全主任和安全员有承办单位挑选并培训合格方能上岗。</w:t>
      </w:r>
    </w:p>
    <w:p w14:paraId="4CAA7BD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在安全主任、救生艇和赛道裁判艇之间建立有效的通讯系统，确保比赛期间及时开展救生工作。</w:t>
      </w:r>
    </w:p>
    <w:p w14:paraId="20DE368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大会提供设备齐全和救生艇和个人救生设备，并配有专业资质的救生员。</w:t>
      </w:r>
    </w:p>
    <w:p w14:paraId="3449571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10.2.2安全职责</w:t>
      </w:r>
    </w:p>
    <w:p w14:paraId="196BCCC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制订整场赛事安全系统的运作程序及意外情况发生处理方案。</w:t>
      </w:r>
    </w:p>
    <w:p w14:paraId="716D339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参加领队、教练员及裁判长的联席会议，由安全主任讲解赛事安全运作程序及应急预案。</w:t>
      </w:r>
    </w:p>
    <w:p w14:paraId="2A2A07D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赛前收集各参赛队运动员相关资料（包括运动员病历记录、泳技不佳运动员名单等），尽早掌握运动员基本情况。</w:t>
      </w:r>
    </w:p>
    <w:p w14:paraId="373AE7C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及时清查参赛队登舟与上岸人数，尤其在比赛中发生落水上岸时，安全员应即刻清点上岸人数，确定人数齐全后，方可召回救生船只。</w:t>
      </w:r>
    </w:p>
    <w:p w14:paraId="1DD9A58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比赛期间出现特殊情况，且继续比赛将影响参赛者安全和健康时，安全主任应及时建议总裁判长采取措施，延期或取消比赛。</w:t>
      </w:r>
    </w:p>
    <w:p w14:paraId="4FB56D2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负责比赛中参赛者的一切安全事宜，确保安全措施的落实。</w:t>
      </w:r>
    </w:p>
    <w:p w14:paraId="543D441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10.3安全机构与设备</w:t>
      </w:r>
    </w:p>
    <w:p w14:paraId="5D31FE9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医疗及救生服务站</w:t>
      </w:r>
    </w:p>
    <w:p w14:paraId="09DEE9F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比赛期间，大会设水上和陆上医疗及救生服务站，由承办单位负责提供，并对参加的医疗及救生服务人员进行培训。赛前、赛中安排有资质的救生员若干名、医生1-2名、护士2名并在赛场内设置医疗救护站，配备救护车1辆，心脏除颤仪、轮式担架等急救药品和器械。</w:t>
      </w:r>
    </w:p>
    <w:p w14:paraId="38E127C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救生艇</w:t>
      </w:r>
    </w:p>
    <w:p w14:paraId="2F120A8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比赛期间，承办方至少准备4艘救生艇，在赛场内指定地点值班，随时准备施救。超过10公里的拉力赛，还须配备一艘大型水上救护船，船上配备相应医护人员和救护医疗设备。</w:t>
      </w:r>
    </w:p>
    <w:p w14:paraId="22CB67A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救生衣</w:t>
      </w:r>
    </w:p>
    <w:p w14:paraId="3C3DB64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大会为所有参赛队运动员提供救生衣。</w:t>
      </w:r>
    </w:p>
    <w:p w14:paraId="636A1970">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10.3 赛事保险</w:t>
      </w:r>
    </w:p>
    <w:p w14:paraId="640FF129">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各参赛队必须自行购买所有人员的人身意外伤害保险，比赛报到时必须携带保险单复印件；主办方负责为裁判员、工作人员及志愿者购买人身意外伤害保险；以上人员的投保标准参照中国龙舟协会相关条例执行。</w:t>
      </w:r>
    </w:p>
    <w:p w14:paraId="2A326E83">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p>
    <w:p w14:paraId="0667D6DF">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11赛事熔断机制</w:t>
      </w:r>
    </w:p>
    <w:p w14:paraId="11F8CDE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龙舟赛事的熔断机制旨在确保赛事在安全、有序的环境下进行。</w:t>
      </w:r>
    </w:p>
    <w:p w14:paraId="22089F7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11.1定义与目的</w:t>
      </w:r>
    </w:p>
    <w:p w14:paraId="22261FC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定义：龙舟赛事的熔断机制是指在赛事过程中，当出现安全隐患、突发事件或不可控因素时，为确保人员安全和赛事顺利进行，立即采取停止比赛、疏散人员等紧急措施的一种制度。</w:t>
      </w:r>
    </w:p>
    <w:p w14:paraId="2C9FA63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目的：通过熔断机制，可以及时发现并消除安全隐患，防止事态进一步恶化，确保参赛选手、观众和工作人员的生命安全，同时维护赛事的公平性和秩序。</w:t>
      </w:r>
    </w:p>
    <w:p w14:paraId="2D164D0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11.2龙舟赛事熔断机制实施条件与流程</w:t>
      </w:r>
    </w:p>
    <w:p w14:paraId="408E310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11.2.1实施条件</w:t>
      </w:r>
    </w:p>
    <w:p w14:paraId="3CF1867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天气突变（如暴雨、雷电、大风等恶劣天气可能影响赛事安全）、赛事设备故障（如龙舟赛场被严重损坏、救生设备失效等）、人员安全问题（如参赛选手突发疾病、观众区域出现紧急情况等）、疫情防控需要（如疫情形势变化，需要紧急调整赛事安排）。</w:t>
      </w:r>
    </w:p>
    <w:p w14:paraId="1C1B8CC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11.2.2实施流程：</w:t>
      </w:r>
    </w:p>
    <w:p w14:paraId="70351E5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监测与预警：赛事主办方应密切关注天气变化、设备状况及人员安全情况，一旦发现异常情况，立即启动预警机制。</w:t>
      </w:r>
    </w:p>
    <w:p w14:paraId="519E487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决策与执行：根据预警信息，赛事主办方应迅速作出决策，启动熔断机制，通知相关部门和人员执行紧急措施。</w:t>
      </w:r>
    </w:p>
    <w:p w14:paraId="5F0A8B7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疏散与安置：在确保安全的前提下，有序疏散参赛选手、观众和工作人员，并提供必要的安置和援助。</w:t>
      </w:r>
    </w:p>
    <w:p w14:paraId="085AE8C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 后续处理：对熔断机制实施后的赛事安排进行调整，同时总结经验教训，完善相关制度和措施。</w:t>
      </w:r>
    </w:p>
    <w:p w14:paraId="276497C1">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00A7DD3E">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12 新闻宣传与舆情管理</w:t>
      </w:r>
    </w:p>
    <w:p w14:paraId="78C913EC">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12.1新闻宣传渠道与内容</w:t>
      </w:r>
    </w:p>
    <w:p w14:paraId="740EB6E4">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 —建立官方宣传渠道：创建赛事官方网站、社交媒体账号（如微信公众号、微博、抖音等），及时发布赛事信息，包括赛程安排、参赛队伍、奖金设置、历史文化背景等，吸引潜在观众和参与者的关注。</w:t>
      </w:r>
    </w:p>
    <w:p w14:paraId="06DC4C9C">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 —新闻发布会：赛前召开新闻发布会，邀请各大媒体记者参加，介绍赛事筹备情况、亮点特色和预期效果，通过媒体的广泛报道，扩大赛事的知名度和影响力。</w:t>
      </w:r>
    </w:p>
    <w:p w14:paraId="6D4C625B">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 —合作媒体推广：与当地及周边地区的报纸、电视台、广播电台等传统媒体建立合作关系，进行赛事专题报道、广告投放和嘉宾访谈，覆盖更广泛的受众群体。</w:t>
      </w:r>
    </w:p>
    <w:p w14:paraId="5BEFA580">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 —选手故事与预热：挖掘参赛选手的个人故事、训练经历和团队精神，通过新闻稿、短视频等形式进行宣传，引发观众的情感共鸣，提高赛事的关注度和期待值。</w:t>
      </w:r>
    </w:p>
    <w:p w14:paraId="5178FD21">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 —实时报道赛事进程：利用新媒体平台进行实时图文、视频直播，让无法亲临现场的观众也能同步感受比赛的激烈氛围。同时，安排专业记者和解说员对比赛进行详细解说，介绍比赛规则、战术运用和精彩瞬间，增加观众的观赛体验。</w:t>
      </w:r>
    </w:p>
    <w:p w14:paraId="1272499C">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 —拍摄精彩瞬间照片与视频：配备专业摄影摄像团队，捕捉比赛中的精彩画面和感人瞬间，如龙舟冲刺、鼓手激情击鼓、队员奋力划桨等，制作成高质量的图片和视频素材，通过社交媒体、官方网站等渠道进行广泛传播，吸引更多用户的关注和分享。</w:t>
      </w:r>
    </w:p>
    <w:p w14:paraId="0952DB22">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 —互动活动增强观众参与感：在赛事现场和线上平台开展互动活动，如观众投票评选最佳队伍、最具人气选手，举办线上龙舟知识问答、抽奖等活动，提高观众的参与度和粘性。</w:t>
      </w:r>
    </w:p>
    <w:p w14:paraId="1F489F58">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 —赛事结果公布与表彰：及时在官方渠道和合作媒体上公布比赛结果，对获奖队伍和选手进行表彰和宣传，展示他们的荣誉和成就，提升赛事的权威性和公信力。</w:t>
      </w:r>
    </w:p>
    <w:p w14:paraId="33ED6551">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 —精彩回顾与数据分析：制作赛事精彩回顾视频和图文总结，全面展示赛事的亮点和成果，同时发布赛事相关的数据分析报告，如参赛人数、观众数量、社交媒体曝光量、话题热度等，为赛事的评估和未来发展提供数据支持。</w:t>
      </w:r>
    </w:p>
    <w:p w14:paraId="5F754B61">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 —持续推广赛事品牌：赛后通过媒体合作、参加体育展会等方式，持续宣传赛事品牌，总结经验教训，为下一届赛事的筹备和举办积累经验和资源，保持赛事的热度和影响力。</w:t>
      </w:r>
    </w:p>
    <w:p w14:paraId="6DABA07F">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12.2 新闻宣传工作原则与价值观</w:t>
      </w:r>
    </w:p>
    <w:p w14:paraId="41988C78">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12.2.1 真实性原则：龙舟赛事新闻宣传首要原则是真实。从赛事筹备情况，如参赛队伍数量、赛事日程安排，到比赛过程中的成绩、精彩瞬间及突发状况，都必须如实呈现。记者要深入现场，精准核实信息，避免虚假报道，准确报道比赛的胜负结果、队伍犯规情况等，确保公众获取的信息可信，维护赛事的严肃性与公正性，保障受众知情权。</w:t>
      </w:r>
    </w:p>
    <w:p w14:paraId="3703B7DC">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12.2.2 客观性原则：秉持客观立场至关重要。在报道中，对各参赛队伍要一视同仁，不偏袒、不歧视。描述比赛表现时，依据战术执行、团队协作、个人技术发挥等客观事实，不受主观臆断或受商业利益、地域情感等因素干扰。</w:t>
      </w:r>
    </w:p>
    <w:p w14:paraId="1099C572">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12.2.3 及时性原则：新闻团队需快速采集、编辑、发布信息，从比赛开幕式、预赛到决赛都要第一时间传递给受众。利用新媒体平台实时更新赛况，通过图文、短视频等形式迅速展现精彩画面，增强赛事的影响力与关注度，满足公众对即时信息的需求。</w:t>
      </w:r>
    </w:p>
    <w:p w14:paraId="4A032A25">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12.2.4 文化传承与弘扬价值观：龙舟赛事蕴含深厚文化底蕴，新闻宣传应挖掘并传承其文化价值。讲述龙舟起源、发展脉络、各地特色习俗，如端午赛龙舟纪念屈原等传统故事，传播团结协作、奋勇争先、拼搏进取的龙舟精神，激励参与者与观众在生活中秉持这些精神品质，让古老的龙舟文化在现代社会中焕发生机，通过赛事宣传促进文化的交流与传承，提升民族文化自信，赋予赛事超越体育竞技的文化内涵与社会价值，增强社会凝聚力与向心力。</w:t>
      </w:r>
    </w:p>
    <w:p w14:paraId="16597891">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12.3 舆情管理工作政策</w:t>
      </w:r>
    </w:p>
    <w:p w14:paraId="2C385E00">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12.3.1监测舆情动态</w:t>
      </w:r>
    </w:p>
    <w:p w14:paraId="26953D58">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w:t>
      </w: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建立舆情监测系统：利用专业的舆情监测软件，对社交媒体、新闻网站、论坛、博客等网络平台上与龙舟赛事相关的信息进行实时监测，及时掌握舆情动态和趋势。</w:t>
      </w:r>
    </w:p>
    <w:p w14:paraId="4108223B">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w:t>
      </w: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设置关键词与预警机制：根据赛事特点和可能出现的舆情热点，设置相关关键词，如赛事组织、裁判判罚、队员表现、安全问题等，一旦监测到与关键词相关的负面舆情信息，及时发出预警，以便赛事主办方能够迅速做出反应。</w:t>
      </w:r>
    </w:p>
    <w:p w14:paraId="72FCBAD4">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12.3.2 应对负面舆情</w:t>
      </w:r>
    </w:p>
    <w:p w14:paraId="6218E2FD">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w:t>
      </w: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及时回应与澄清事实：对于出现的负面舆情，赛事主办方要迅速成立舆情应对小组，第一时间发布权威信息，回应公众关切，澄清事实真相，避免不实信息的传播和扩散。</w:t>
      </w:r>
    </w:p>
    <w:p w14:paraId="7BDF5723">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w:t>
      </w: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诚恳道歉与改进措施：如果负面舆情是由于赛事组织方的失误或不足导致的，要诚恳地向公众道歉，并及时公布改进措施和解决方案，展示主办方积极负责的态度，赢得公众的理解和信任。</w:t>
      </w:r>
    </w:p>
    <w:p w14:paraId="64415529">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w:t>
      </w: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引导正面舆论：通过发布正面的赛事信息、选手故事、观众反馈等内容，积极引导舆论走向，营造良好的舆论氛围。同时，邀请专家学者、体育名人等发表正面评论和观点，增强正面舆论的影响力。</w:t>
      </w:r>
    </w:p>
    <w:p w14:paraId="5CE27B74">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12.3.3危机公关处理</w:t>
      </w:r>
    </w:p>
    <w:p w14:paraId="01C6AB1C">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w:t>
      </w: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制定危机公关预案：在赛事筹备阶段，制定完善的危机公关预案，明确危机事件的类型、等级和应对流程，确保在遇到重大舆情危机时能够有条不紊地进行处理。</w:t>
      </w:r>
    </w:p>
    <w:p w14:paraId="573ACBDE">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w:t>
      </w: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协调各方资源：在危机公关处理过程中，赛事主办方要积极协调政府部门、媒体、合作伙伴等各方资源，形成合力，共同应对危机事件，最大限度地降低负面影响。</w:t>
      </w:r>
    </w:p>
    <w:p w14:paraId="694B738F">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w:t>
      </w: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恢复赛事形象：危机事件平息后，要及时开展形象修复工作，通过举办一系列正面活动、加强宣传推广等方式，重新树立赛事的良好形象，恢复公众对赛事的信心和支持。</w:t>
      </w:r>
    </w:p>
    <w:p w14:paraId="488A8FFE">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2D0B75CD">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13赛事场地、器材与设施</w:t>
      </w:r>
    </w:p>
    <w:p w14:paraId="6F73D58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参见中国龙舟协会制定的《中国龙舟竞赛规则与裁判法（2020版）》。</w:t>
      </w:r>
    </w:p>
    <w:p w14:paraId="2EB31CC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p>
    <w:p w14:paraId="64F4EB3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14 体育展示</w:t>
      </w:r>
    </w:p>
    <w:p w14:paraId="5B6C89B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14.1思想要求</w:t>
      </w:r>
    </w:p>
    <w:p w14:paraId="6ABB781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14.1.1指导思想</w:t>
      </w:r>
    </w:p>
    <w:p w14:paraId="71B6AB7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中国龙舟赛事体育展示工作要深入贯彻落实新时代中国特色社会主义思想及全国宣传工作会议精神，牢牢把握体育工作的话语权，以提升中国龙舟运动公众形象为目的，着力提高舆论引导能力和水平，大力宣传中国龙舟运动精神和中华民族传统文化，为中国龙舟事业的健康发展提供舆论支持、精神动力和文化条件。</w:t>
      </w:r>
    </w:p>
    <w:p w14:paraId="6AAF111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14.1.2竞赛展示思想</w:t>
      </w:r>
    </w:p>
    <w:p w14:paraId="7815FD5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赛前仪式展示环节，要力求凸显赛事主题，彰显公平竞争的体育精神；赛中解说环节，要求队伍介绍详实，规则介绍准确，场上比赛形势介绍清楚，不能出现掺杂个人主观情绪和影响比赛公平、公正的话语；赛后展示环节，要着重体现感谢，对运动员、观众、主办方、承办方、裁判员、安保人员、志愿者等表达谢意。</w:t>
      </w:r>
    </w:p>
    <w:p w14:paraId="3B5E048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14.1.3文化展示思想</w:t>
      </w:r>
    </w:p>
    <w:p w14:paraId="71A68B2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要求重点展示中国传统文化、中国龙舟文化、举办地城市文化和民俗文化，对中国龙舟运动起源、发展、龙舟赛事等基本情况要详细介绍。</w:t>
      </w:r>
    </w:p>
    <w:p w14:paraId="1245F7B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14.2形式要求</w:t>
      </w:r>
    </w:p>
    <w:p w14:paraId="0C400F2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14.2.1视频形式</w:t>
      </w:r>
    </w:p>
    <w:p w14:paraId="35CAB3D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赛场播放的视频要求统一制作、统一播放、严格审查，内容仅限于举办地城市宣传片、赛事活动背景介绍、赛事实况展示等，对播放的赞助商广告要经赛事承办方严格审批。</w:t>
      </w:r>
    </w:p>
    <w:p w14:paraId="26D9159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14.2.2音频形式</w:t>
      </w:r>
    </w:p>
    <w:p w14:paraId="67E1BCA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现场音频播放源只限是赛事音响操控设备、现场宣告员体育展示设备，不允许其他单位（个人）提供的未经审查的音频资源在赛事活动范围内展示。</w:t>
      </w:r>
    </w:p>
    <w:p w14:paraId="18186F6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14.2.3表演形式</w:t>
      </w:r>
    </w:p>
    <w:p w14:paraId="16626D9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开闭幕及赛事中间穿插的节目表演，需经赛事承办方严格审查，要求弘扬主旋律，体现当地特色，如：民族舞蹈、啦啦操、吉祥物表演、现场互动表演等。</w:t>
      </w:r>
    </w:p>
    <w:p w14:paraId="1377390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14.3人员要求</w:t>
      </w:r>
    </w:p>
    <w:p w14:paraId="4050743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担任龙舟赛事宣告工作的人员，必须熟悉中国龙舟运动规则，参加过正规龙舟裁判员培训并考核合格。全国性龙舟赛事的宣告员必须取得中国龙舟协会认定的一级及以上龙舟裁判员证书。</w:t>
      </w:r>
    </w:p>
    <w:p w14:paraId="387CD96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p>
    <w:p w14:paraId="3CF53EB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15 开幕式与颁奖仪式</w:t>
      </w:r>
    </w:p>
    <w:p w14:paraId="3458BDC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xml:space="preserve">15.1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龙舟比赛开幕式</w:t>
      </w:r>
    </w:p>
    <w:p w14:paraId="3F5650F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领导与嘉宾入场（迎宾舞表演3-5分钟）</w:t>
      </w:r>
    </w:p>
    <w:p w14:paraId="1FFC3C2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龙舟巡游</w:t>
      </w:r>
    </w:p>
    <w:p w14:paraId="7E49735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(3)</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奏唱中华人民共和国国歌</w:t>
      </w:r>
    </w:p>
    <w:p w14:paraId="4837045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(4)</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介绍出席的领导与嘉宾</w:t>
      </w:r>
    </w:p>
    <w:p w14:paraId="617B21A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(5)</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领导致欢迎词</w:t>
      </w:r>
    </w:p>
    <w:p w14:paraId="2678F6B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运动员代表宣誓</w:t>
      </w:r>
    </w:p>
    <w:p w14:paraId="7B3A02C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(7)</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裁判员代表宣誓</w:t>
      </w:r>
    </w:p>
    <w:p w14:paraId="55F2170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(8)</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领导与嘉宾为龙舟披红点睛</w:t>
      </w:r>
    </w:p>
    <w:p w14:paraId="02E57CC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(9)</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领导宣布开幕</w:t>
      </w:r>
    </w:p>
    <w:p w14:paraId="0FB1856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0)</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文艺表演（3-5分钟）</w:t>
      </w:r>
    </w:p>
    <w:p w14:paraId="243EA58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p>
    <w:p w14:paraId="046E6FD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xml:space="preserve">15.2 </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颁奖仪式</w:t>
      </w:r>
    </w:p>
    <w:p w14:paraId="7B7EB55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每项目的前三名将分别获得金牌、银牌和铜牌。颁奖仪式开始前15分钟，工作人员负责引导获奖运动员到颁奖等候区。运动员须着各省、市官方指定服装。</w:t>
      </w:r>
    </w:p>
    <w:p w14:paraId="5A94918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p>
    <w:p w14:paraId="5569089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16 参与者服务</w:t>
      </w:r>
    </w:p>
    <w:p w14:paraId="15C4F72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16.1 观众交通引导</w:t>
      </w:r>
    </w:p>
    <w:p w14:paraId="51633F0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16.1.1建立官方交通信息渠道</w:t>
      </w:r>
    </w:p>
    <w:p w14:paraId="20588CE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设立专门的龙舟比赛官方网站和社交媒体账号，发布详细的交通指南，包括比赛场地周边的交通状况、公共交通线路、停车场位置及容量等信息。</w:t>
      </w:r>
    </w:p>
    <w:p w14:paraId="464FF13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与当地交通广播电台合作，定时播报比赛当日的交通路况和引导信息，提醒观众提前规划出行路线。</w:t>
      </w:r>
    </w:p>
    <w:p w14:paraId="78B239C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16.1.2 增加公交运力</w:t>
      </w:r>
    </w:p>
    <w:p w14:paraId="6A2BC18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与公交公司协商，在比赛当天加密前往比赛场地的公交线路班次，特别是在比赛开场前 2 - 3 小时和散场后的 1 - 2 小时内，确保观众能够及时乘坐公交前往和离开场地，减少等待时间。</w:t>
      </w:r>
    </w:p>
    <w:p w14:paraId="622A837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根据比赛场地的位置和周边公交站点分布情况，临时开通几条直达或大站快线公交，方便观众快速抵达。</w:t>
      </w:r>
    </w:p>
    <w:p w14:paraId="29AEC5E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16.1.3 规划停车场布局</w:t>
      </w:r>
    </w:p>
    <w:p w14:paraId="3E55F37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在比赛场地周边合理规划停车场，根据场地条件和预计的观众数量，划分不同类型的停车区域，包括小汽车停车场、摩托车停车场以及无障碍停车位等，确保各类车辆都能有合适的停放位置。</w:t>
      </w:r>
    </w:p>
    <w:p w14:paraId="2341775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提前对停车场进行清理和整理，确保场地平整、标识清晰，方便观众快速找到停车位。</w:t>
      </w:r>
    </w:p>
    <w:p w14:paraId="7B195FE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16.1.4 制定交通管制方案</w:t>
      </w:r>
    </w:p>
    <w:p w14:paraId="60D40A5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与当地交通管理部门合作，根据比赛场地周边的道路条件和交通流量，制定详细的交通管制方案。确定比赛当天的交通管制时间、管制路段和管制措施，提前向社会公布，以便市民提前做好出行安排。</w:t>
      </w:r>
    </w:p>
    <w:p w14:paraId="21677B9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在交通管制区域的边界设置明显的交通管制标识和警示设施，提醒过往车辆提前绕行，避免误入管制区域造成交通拥堵。</w:t>
      </w:r>
    </w:p>
    <w:p w14:paraId="15B3457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16.1.6 步行引导标识</w:t>
      </w:r>
    </w:p>
    <w:p w14:paraId="702C536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在比赛场地周边的公交站点、停车场、地铁站以及主要路口设置清晰的步行引导标识，引导观众前往比赛场地的入口。标识应采用统一的设计风格，包括颜色、图案和文字等，方便观众识别和跟随。</w:t>
      </w:r>
    </w:p>
    <w:p w14:paraId="6E00A27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在步行路线上，设置必要的照明设施和临时休息区域，确保观众在夜间或行走过程中能够安全、舒适地到达比赛场地。</w:t>
      </w:r>
    </w:p>
    <w:p w14:paraId="6128FAD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16.1.7 现场交通服务点</w:t>
      </w:r>
    </w:p>
    <w:p w14:paraId="0574597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比赛场地的主要入口处和周边关键位置设置多个交通服务点，配备一定数量的工作人员和志愿者，为观众提供交通咨询、引导和帮助服务。服务点应提供饮用水、急救药品、遮阳伞等基本物资，以应对观众可能出现的身体不适等情况。</w:t>
      </w:r>
    </w:p>
    <w:p w14:paraId="423C4AD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16.1.8 应急交通保障</w:t>
      </w:r>
    </w:p>
    <w:p w14:paraId="383C153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预留一定数量的应急车辆，如救护车、消防车和工程抢险车等，并确保这些车辆在比赛期间能够随时待命，应对突发的交通事故、火灾或其他紧急情况。同时，制定应急交通疏导预案，明确在紧急情况下的交通管制和疏导措施，确保救援通道的畅通无阻。</w:t>
      </w:r>
    </w:p>
    <w:p w14:paraId="4B5B3DA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16.2 观众固定或临时看台服务</w:t>
      </w:r>
    </w:p>
    <w:p w14:paraId="27FACC0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16.2.1 设施安全</w:t>
      </w:r>
    </w:p>
    <w:p w14:paraId="2222623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看台的建筑结构必须稳固。无论是固定看台的钢筋混凝土结构，还是临时看台的钢结构或脚手架结构，都要经过严格的安全检测。例如，固定看台的座椅要牢固安装在看台地面上，避免出现松动、脱落的情况；临时看台的搭建材料要符合质量标准，连接处要进行加固处理，防止在观众就坐或活动过程中发生坍塌事故。</w:t>
      </w:r>
    </w:p>
    <w:p w14:paraId="7A8AF7E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看台的通道和楼梯要保持畅通无阻，宽度要符合安全标准，能够满足在紧急情况下观众快速疏散的需求。通道地面要有良好的防滑性能，特别是在潮湿天气下，防止观众滑倒摔伤。楼梯的扶手要安装牢固，高度合适，方便不同身高的观众抓扶。</w:t>
      </w:r>
    </w:p>
    <w:p w14:paraId="615A74F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16.2.2 人员安全</w:t>
      </w:r>
    </w:p>
    <w:p w14:paraId="4F9CE6E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配备足够数量的安保人员，分布在看台的各个区域，包括入口、出口、通道和观众坐席中间等位置。安保人员的职责包括维持现场秩序，防止观众发生拥挤、推搡等行为。在观众入场和退场时，安保人员要引导人流，避免出现混乱局面。</w:t>
      </w:r>
    </w:p>
    <w:p w14:paraId="3B6CE07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要有完善的消防设施和应急疏散预案。看台周围应配备灭火器、消防栓等消防设备，并确保其处于良好的可用状态。同时，要设置明显的疏散指示标志。</w:t>
      </w:r>
    </w:p>
    <w:p w14:paraId="086C54F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16.2.3 座位设施</w:t>
      </w:r>
    </w:p>
    <w:p w14:paraId="76A2D72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座位的设计要符合人体工程学原理，让观众能够舒适地观看比赛。座椅的尺寸要合适，宽度和深度要能够容纳不同体型的观众，并且要有一定的靠背倾斜度，为观众的背部提供良好的支撑。对于固定看台，座位的布局要合理，保证每个观众都能有较好的视野，尽量减少视线遮挡。相邻座位之间的间距也要适当，方便观众进出。临时看台在座位布局上同样要考虑视野和间距问题，同时还要注意座位的稳定性，避免观众在就坐过程中座位晃动影响观看体验。</w:t>
      </w:r>
    </w:p>
    <w:p w14:paraId="312805A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16.2.4 餐饮服务</w:t>
      </w:r>
    </w:p>
    <w:p w14:paraId="4EB4713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看台附近应设置餐饮售卖点，提供丰富多样的食品和饮料选择。食品的种类可以包括传统的小吃等。餐饮售卖点要保证食品的安全和卫生，严格遵守食品卫生标准，对食品的采购、加工、储存等环节进行严格管理。为了方便观众购买，售卖点的位置要合理，避免观众为了购买餐饮而长时间离开座位影响观看比赛。同时，售卖点的排队区域要设计合理，避免出现过长的排队队伍影响通道通行。</w:t>
      </w:r>
    </w:p>
    <w:p w14:paraId="431680A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16.2.5 卫生设施</w:t>
      </w:r>
    </w:p>
    <w:p w14:paraId="0E4B182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要提供足够数量的卫生间，并且分布要合理，方便观众使用。卫生间的内部设施要齐全，包括洗手盆、马桶或蹲便器等，并且要保持清洁卫生。要安排专人定时打扫卫生间，补充卫生纸等用品，确保卫生间的环境整洁、无异味。</w:t>
      </w:r>
    </w:p>
    <w:p w14:paraId="16513B0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对于一些大型的龙舟赛看台，还可以设置母婴室和无障碍卫生间，以满足特殊人群的需求。母婴室里可以配备婴儿护理台、哺乳椅等设施，无障碍卫生间要方便残疾人使用，例如安装扶手、无障碍马桶等设施。</w:t>
      </w:r>
    </w:p>
    <w:p w14:paraId="5F904E5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16.2.6 提供赛事信息</w:t>
      </w:r>
    </w:p>
    <w:p w14:paraId="650B2FE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看台区域要设置信息显示屏，除了显示比赛的实时画面外，还可以提供赛事的相关信息，如参赛队伍介绍、比赛规则讲解、赛程安排、运动员的成绩和排名等。这些信息可以帮助观众更好地理解比赛，增加观众对赛事的参与感和兴趣。</w:t>
      </w:r>
    </w:p>
    <w:p w14:paraId="112E426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16.3 安检协查</w:t>
      </w:r>
    </w:p>
    <w:p w14:paraId="4F47FC8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16.3.1 身份核实</w:t>
      </w:r>
    </w:p>
    <w:p w14:paraId="60946EE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检查观众有效身份证件，确保身份真实，防止不法分子混入。对于被限制入场的人员（如赛事黑名单人员、有不良记录的捣乱分子等）要重点排查，拒绝其入场。</w:t>
      </w:r>
    </w:p>
    <w:p w14:paraId="7B6F5B9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16.3.2 行为观察</w:t>
      </w:r>
    </w:p>
    <w:p w14:paraId="1EE34C2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注意观察人员的行为举止。如果有人神色慌张、眼神游离、行为鬼鬼祟祟，要重点关注。检查是否有人员携带可能干扰赛事秩序的物品，如超大的扩音设备（可能会制造噪音干扰比赛指令）、未经许可的宣传横幅（可能涉及违规广告或不良信息）等。</w:t>
      </w:r>
    </w:p>
    <w:p w14:paraId="23CCC61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16.3.3 违禁物品排查</w:t>
      </w:r>
    </w:p>
    <w:p w14:paraId="1D149CC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严禁易燃易爆物品，如汽油、酒精等。禁止携带管制刀具等危险器具。限制大型箱包入场，可能会隐藏危险物品。</w:t>
      </w:r>
    </w:p>
    <w:p w14:paraId="55E2353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p>
    <w:p w14:paraId="38FFC3F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17 礼宾服务</w:t>
      </w:r>
    </w:p>
    <w:p w14:paraId="7699FC9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17.1 嘉宾范围</w:t>
      </w:r>
    </w:p>
    <w:p w14:paraId="27269AD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政府官员：包括国家及省级政府的领导、当地政府分管领导、体育部门领导等，他们出席赛事对于提升赛事规格、展现政府对体育事业的支持至关重要，通常参与赛事开幕式、颁奖仪式等关键环节。</w:t>
      </w:r>
    </w:p>
    <w:p w14:paraId="1E4CA26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赞助商代表：为赛事提供资金、物资等支持的企业代表，是赛事顺利举办的经济保障，在赛事过程中享有一定的专属权益，如贵宾观赛区、品牌曝光机会等。</w:t>
      </w:r>
    </w:p>
    <w:p w14:paraId="34F26D5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国际友人及友好城市代表团：若赛事具有一定国际影响力，吸引国外龙舟队伍参赛，相应国家或地区的驻华使领馆人员、友好城市体育官员等可能前来观摩交流，促进国际体育文化交流合作。</w:t>
      </w:r>
    </w:p>
    <w:p w14:paraId="586E339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体育界知名人士：奥运会冠军、亚运会冠军、知名的龙舟运动员、知名体育教练、体育评论员等，他们凭借专业知识和影响力，可为赛事增添关注度，参与赛事解说、运动员交流等活动。</w:t>
      </w:r>
    </w:p>
    <w:p w14:paraId="6E89A5C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行业协会专家：龙舟协会骨干成员、水上运动研究专家，负责对赛事技术规范、裁判工作进行指导监督，保障赛事专业性、公正性。</w:t>
      </w:r>
    </w:p>
    <w:p w14:paraId="76E9BE0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17.2 礼宾服务</w:t>
      </w:r>
    </w:p>
    <w:p w14:paraId="68BA972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17.2.1接待流程标准化</w:t>
      </w:r>
    </w:p>
    <w:p w14:paraId="78DB9F3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在机场、车站等交通枢纽设立专门接待点，配备精通外语和熟悉赛事流程的志愿者，手持指示牌迎接嘉宾，协助办理行李托运、提取等手续。</w:t>
      </w:r>
    </w:p>
    <w:p w14:paraId="52D0B13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嘉宾抵达赛事场地后，由专人引导至贵宾休息区，提供茶歇、赛事资料及纪念品，介绍赛事日程安排、场地设施等基本信息。</w:t>
      </w:r>
    </w:p>
    <w:p w14:paraId="5CD4143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17.2.2专属陪同服务</w:t>
      </w:r>
    </w:p>
    <w:p w14:paraId="7D8AF4C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为重要嘉宾安排一对一陪同人员，全程跟随，随时满足嘉宾需求，如安排临时会议、采访，解答赛事相关疑问。陪同人员提前熟悉嘉宾背景、喜好，提供个性化服务。</w:t>
      </w:r>
    </w:p>
    <w:p w14:paraId="1ECDB10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17.2.3礼仪形象展示</w:t>
      </w:r>
    </w:p>
    <w:p w14:paraId="1F5B05C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选拔培训专业礼仪人员，统一着装，妆容得体，在嘉宾接待、颁奖仪式等场合展现优雅姿态、规范礼仪，如引导手势、微笑问候、颁奖流程等细节，彰显龙舟赛事文化内涵。</w:t>
      </w:r>
    </w:p>
    <w:p w14:paraId="11E53CA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17.3 交通服务</w:t>
      </w:r>
    </w:p>
    <w:p w14:paraId="520F7AA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17.3.1贵宾专车接送</w:t>
      </w:r>
    </w:p>
    <w:p w14:paraId="5190A71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根据嘉宾行程，提前调配豪华轿车、商务车等，车辆保持整洁干净，车内配备饮用水、赛事宣传资料、充电设备等。司机经验丰富，熟悉城市道路与赛事场地周边交通状况，确保准点接送。</w:t>
      </w:r>
    </w:p>
    <w:p w14:paraId="3D35F0C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17.3.2赛事场地交通疏导</w:t>
      </w:r>
    </w:p>
    <w:p w14:paraId="33E76C9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在赛事场地周边设置贵宾专用通道，与普通观众通道分离，减少拥堵，安排交警、安保人员指挥交通，保障嘉宾车辆快速、顺畅通行，确保嘉宾按时抵达活动现场。</w:t>
      </w:r>
    </w:p>
    <w:p w14:paraId="5083045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17.3.3应急交通预案</w:t>
      </w:r>
    </w:p>
    <w:p w14:paraId="059B3B1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考虑到可能出现的交通意外、恶劣天气等突发情况，准备备用车辆，随时待命，并与交通部门保持密切联系，及时获取路况信息，灵活调整行车路线。</w:t>
      </w:r>
    </w:p>
    <w:p w14:paraId="7A04ADF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17.4餐饮服务</w:t>
      </w:r>
    </w:p>
    <w:p w14:paraId="5A7B2D1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17.4.1定制菜单</w:t>
      </w:r>
    </w:p>
    <w:p w14:paraId="6A0AC9E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依据嘉宾地域、饮食习惯差异，设计多元菜单，涵盖中式佳肴、西式料理、本地特色美食，食材新鲜、烹饪精细，兼顾营养均衡与口味喜好。</w:t>
      </w:r>
    </w:p>
    <w:p w14:paraId="6956889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17.4.2餐饮环境优化</w:t>
      </w:r>
    </w:p>
    <w:p w14:paraId="290319F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在贵宾餐厅营造优雅、舒适就餐氛围，合理布置餐桌、装饰，配备专业服务人员，上菜顺序规范、速度适中，及时清理桌面，确保嘉宾用餐体验良好。</w:t>
      </w:r>
    </w:p>
    <w:p w14:paraId="2F2D5FC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17.4.3食品安全保障</w:t>
      </w:r>
    </w:p>
    <w:p w14:paraId="0AE82B5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严格把控食材采购源头，选择正规供应商，加强食品加工过程监管，落实留样制度，安排专人负责食品安全检查，防止食物中毒等问题发生，确保嘉宾饮食健康。</w:t>
      </w:r>
    </w:p>
    <w:p w14:paraId="01D4D4A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17.5环境清洁服务</w:t>
      </w:r>
    </w:p>
    <w:p w14:paraId="62D701C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17.5.1贵宾区域深度清洁</w:t>
      </w:r>
    </w:p>
    <w:p w14:paraId="5A37A43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赛前对贵宾休息区、观赛区、餐厅、卫生间等重点区域进行全面深度清洁，包括地面打蜡、家具擦拭、卫生间消毒除臭，赛事期间定时巡检，随时清理垃圾、污渍，维持环境整洁。</w:t>
      </w:r>
    </w:p>
    <w:p w14:paraId="047F03C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17.5.2赛事场地周边环境卫生维护</w:t>
      </w:r>
    </w:p>
    <w:p w14:paraId="0E1B9D1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增加赛事场地周边道路、停车场、绿化带等区域保洁频次，安排垃圾清运车辆及时转运垃圾，设置足够数量垃圾桶并合理分布，确保整体环境干净、美观，给嘉宾留下良好印象。</w:t>
      </w:r>
    </w:p>
    <w:p w14:paraId="2963800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17.6安保措施</w:t>
      </w:r>
    </w:p>
    <w:p w14:paraId="66C1E70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17.6.1身份核查与安检</w:t>
      </w:r>
    </w:p>
    <w:p w14:paraId="7983FC8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在赛事各入口设置贵宾专用通道，配备先进安检设备，对嘉宾及随行人员进行严格身份核查、安检，禁止携带危险物品入场，确保人员安全与赛事秩序。</w:t>
      </w:r>
    </w:p>
    <w:p w14:paraId="51D48BD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17.6.2重点区域安保布控</w:t>
      </w:r>
    </w:p>
    <w:p w14:paraId="542E107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加强贵宾休息区、观赛区、停车场等关键部位安保力量，安排安保人员 24 小时值守巡逻，安装监控摄像头，实现全方位监控，防范突发事件。</w:t>
      </w:r>
    </w:p>
    <w:p w14:paraId="3953B91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17.6.3应急处置预案</w:t>
      </w:r>
    </w:p>
    <w:p w14:paraId="74346F8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制定针对火灾、暴恐袭击、人员突发疾病等紧急情况的应急预案，定期组织安保人员演练，配备急救设备、消防器材，确保在突发事件发生时能迅速响应、有效处置。</w:t>
      </w:r>
    </w:p>
    <w:p w14:paraId="17AE762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17.7技术信息服务</w:t>
      </w:r>
    </w:p>
    <w:p w14:paraId="3BD5C54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17.7.1赛事信息实时推送</w:t>
      </w:r>
    </w:p>
    <w:p w14:paraId="2738A7A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为嘉宾定制专属赛事信息系统，通过手机 APP 或电子显示屏，实时推送赛事赛程、成绩、龙舟队伍介绍、参赛运动员资料等信息，方便嘉宾了解赛事动态。</w:t>
      </w:r>
    </w:p>
    <w:p w14:paraId="222D41E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17.7.2高速无线网络覆盖</w:t>
      </w:r>
    </w:p>
    <w:p w14:paraId="3B4C349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在贵宾区域全面覆盖高速无线网络，保障嘉宾随时上网查阅资料、处理公务或分享赛事精彩瞬间，安排技术人员现场值守，及时解决网络故障。</w:t>
      </w:r>
    </w:p>
    <w:p w14:paraId="27F3580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17.7.3技术讲解与支持</w:t>
      </w:r>
    </w:p>
    <w:p w14:paraId="57F8C6C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针对嘉宾对赛事技术细节（如龙舟速度、裁判判罚规则）、直播设备使用等方面的疑问，安排专业技术人员提供讲解、培训，满足嘉宾技术需求。</w:t>
      </w:r>
    </w:p>
    <w:p w14:paraId="598BF79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17.8 医疗服务</w:t>
      </w:r>
    </w:p>
    <w:p w14:paraId="49ACF4E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17.8.1现场医疗站设置</w:t>
      </w:r>
    </w:p>
    <w:p w14:paraId="6DEFE15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在贵宾区域附近设立专门医疗站，配备齐全的急救药品、器材，如除颤仪、氧气瓶、担架等，安排具有丰富急救经验的医护人员值守，确保能第一时间处理嘉宾突发疾病、受伤情况。</w:t>
      </w:r>
    </w:p>
    <w:p w14:paraId="2D6975F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17.8.2医疗救护绿色通道</w:t>
      </w:r>
    </w:p>
    <w:p w14:paraId="0DCA0C1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与周边医院建立合作，开通医疗救护绿色通道，一旦嘉宾病情严重需转诊，确保救护车快速通行，医院提前做好接诊准备，实现无缝对接救治。</w:t>
      </w:r>
    </w:p>
    <w:p w14:paraId="1265F94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17.8.3健康咨询服务</w:t>
      </w:r>
    </w:p>
    <w:p w14:paraId="463E0BD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赛事期间，为嘉宾提供健康咨询服务，如运动损伤预防、常见疾病防治知识普及，发放健康宣传资料，关心嘉宾身体健康状况。</w:t>
      </w:r>
    </w:p>
    <w:p w14:paraId="4A2C190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p>
    <w:p w14:paraId="66F2006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18 证件管理</w:t>
      </w:r>
    </w:p>
    <w:p w14:paraId="0BE9D79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18.1 参赛人员证件</w:t>
      </w:r>
    </w:p>
    <w:p w14:paraId="20746E5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18.1.1 运动员证</w:t>
      </w:r>
    </w:p>
    <w:p w14:paraId="3BA5349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证件内容包含运动员姓名、性别、年龄、照片、所属队伍名称、职务等基本信息。照片要求清晰，能够准确识别运动员本人。</w:t>
      </w:r>
    </w:p>
    <w:p w14:paraId="111239F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证件制作与发放由赛事组织方统一制作，在参赛队伍报到时发放。制作过程中要严格核对运动员的身份信息，确保信息无误。</w:t>
      </w:r>
    </w:p>
    <w:p w14:paraId="79A75F5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运动员在比赛期间必须随身携带运动员证，在检录、登舟以及比赛后的成绩确认等环节都要出示证件。</w:t>
      </w:r>
    </w:p>
    <w:p w14:paraId="690E298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18.1.2 教练证</w:t>
      </w:r>
    </w:p>
    <w:p w14:paraId="632C549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证件内容包括教练姓名、所属队伍、联系方式等信息。</w:t>
      </w:r>
    </w:p>
    <w:p w14:paraId="6F08A25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证件制作与发放由赛事组织方负责，教练证的制作要根据教练提交的资质证明材料进行信息录入。</w:t>
      </w:r>
    </w:p>
    <w:p w14:paraId="0168DF7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教练在比赛现场指挥训练、参与赛事相关会议等场合需要出示教练证。</w:t>
      </w:r>
    </w:p>
    <w:p w14:paraId="2E37FF6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18.2 工作人员证件</w:t>
      </w:r>
    </w:p>
    <w:p w14:paraId="3D3CD72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18.2.1 裁判证</w:t>
      </w:r>
    </w:p>
    <w:p w14:paraId="023BD6E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裁判证上有裁判姓名、级别、执法项目（如起点裁判、赛道裁判等）等信息。</w:t>
      </w:r>
    </w:p>
    <w:p w14:paraId="2F7CC20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证件制作与发放由赛事组织方负责，发放时要确保裁判熟悉比赛规则和自己的职责范围。裁判在比赛现场执法时必须佩戴裁判证。</w:t>
      </w:r>
    </w:p>
    <w:p w14:paraId="5CB71AA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18.2.1 志愿者证</w:t>
      </w:r>
    </w:p>
    <w:p w14:paraId="1721815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志愿者证包含志愿者姓名、服务岗位（如引导观众、协助物资管理等）、所属志愿者团队等信息。</w:t>
      </w:r>
    </w:p>
    <w:p w14:paraId="2EE28D8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志愿者培训合格后，由赛事组织方发放。制作过程中可以添加一些志愿者服务的口号或标志，增强志愿者的荣誉感。</w:t>
      </w:r>
    </w:p>
    <w:p w14:paraId="2826C55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志愿者在服务期间要佩戴志愿者证，方便观众和其他工作人员识别。在提供服务过程中，如引导观众入座、回答咨询等，志愿者证可以增加服务的可信度。</w:t>
      </w:r>
    </w:p>
    <w:p w14:paraId="3F49A48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18.3 嘉宾证件</w:t>
      </w:r>
    </w:p>
    <w:p w14:paraId="266E0ED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18.3.1 贵宾证</w:t>
      </w:r>
    </w:p>
    <w:p w14:paraId="58D5D30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贵宾证上有嘉宾姓名、身份（如赞助商代表、政府官员等）、座位区域等信息。对于一些重要嘉宾，还可以添加个性化的标识，如 VIP 字样等。</w:t>
      </w:r>
    </w:p>
    <w:p w14:paraId="37D37B1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根据赛事邀请嘉宾名单制作和发放。发放时要安排专人负责，确保贵宾感受到尊重。</w:t>
      </w:r>
    </w:p>
    <w:p w14:paraId="797D6AB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贵宾在进入赛场贵宾区域、参加颁奖仪式等场合需要出示贵宾证。这有助于提供专属的服务，保障贵宾的权益。</w:t>
      </w:r>
    </w:p>
    <w:p w14:paraId="51B4104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18.3.2 普通嘉宾证</w:t>
      </w:r>
    </w:p>
    <w:p w14:paraId="6C7D77D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证件内容包括嘉宾姓名、单位等基本信息，以及允许进入的观赛区域等内容。</w:t>
      </w:r>
    </w:p>
    <w:p w14:paraId="70FA286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按照嘉宾邀请范围制作发放。发放过程中要告知嘉宾证件的使用范围和注意事项。</w:t>
      </w:r>
    </w:p>
    <w:p w14:paraId="47AD1DB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普通嘉宾在进入赛场规定的观赛区域时出示证件。</w:t>
      </w:r>
    </w:p>
    <w:p w14:paraId="656475C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18.4 证件管理的通用要求</w:t>
      </w:r>
    </w:p>
    <w:p w14:paraId="6AE0A23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18.4.1 安全保障</w:t>
      </w:r>
    </w:p>
    <w:p w14:paraId="094435A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所有证件都应该具备一定的防伪措施，如防伪水印、特殊的编码等，防止证件被伪造。同时，要建立证件挂失和补办机制。如果证件丢失，持证人应及时向证件管理部门报告，管理部门核实身份后进行补办。</w:t>
      </w:r>
    </w:p>
    <w:p w14:paraId="6D3C0FA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18.4.2 严格检查</w:t>
      </w:r>
    </w:p>
    <w:p w14:paraId="2E3BC25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在赛场入口、重要区域入口（如颁奖仪式现场、运动员休息区等）设置证件检查点。工作人员要严格核对证件信息与持证人是否相符，对于不符合要求的情况，如证件过期、信息不符等，禁止其进入相关区域。</w:t>
      </w:r>
    </w:p>
    <w:p w14:paraId="1105BC8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p>
    <w:p w14:paraId="51A1969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19 餐饮服务</w:t>
      </w:r>
    </w:p>
    <w:p w14:paraId="6E7086C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19.1 餐饮服务对象</w:t>
      </w:r>
    </w:p>
    <w:p w14:paraId="4C422C6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餐饮服务对象包括参赛运动员、教练员、领队、裁判、志愿者、安保人员等工作人员。运动员在赛前、赛中及赛后需要及时补充能量，以维持高强度的体力消耗。赛事工作人员用餐时间相对固定但短暂，需要能快速进食的餐食。</w:t>
      </w:r>
    </w:p>
    <w:p w14:paraId="6D289A0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此外，观赛观众来自不同年龄、地域和饮食习惯的观众，部分观众可能会选择在赛场内就餐，他们对于餐饮的口味、种类需求较为多样化。</w:t>
      </w:r>
    </w:p>
    <w:p w14:paraId="19BEC17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19.2 餐饮卫生标准</w:t>
      </w:r>
    </w:p>
    <w:p w14:paraId="1900D2D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食材采购须从正规供应商处采购食材，确保食材来源可追溯。所有肉类、蔬菜、海鲜等原材料均需具备检验检疫合格证明，严禁采购变质、过期、三无产品。</w:t>
      </w:r>
    </w:p>
    <w:p w14:paraId="4B88A8D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食品加工时，厨房环境应符合国家食品卫生标准，拥有完善的通风、消毒设施。厨师及帮厨人员需持健康证上岗，严格遵守食品加工操作规范，做到生熟分开，防止交叉污染。</w:t>
      </w:r>
    </w:p>
    <w:p w14:paraId="6FCB469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食品储存设立专门的食品储存仓库，按照食品类别、保质期分类存放。冷藏食品温度需控制在 0 - 8℃，冷冻食品温度保持在 -18℃以下，干货食品要置于干燥通风处，防止受潮发霉。</w:t>
      </w:r>
    </w:p>
    <w:p w14:paraId="4FD643C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餐具使用后需经过高温消毒、化学消毒或紫外线消毒等多种方式处理，消毒后的餐具应存放在专用的保洁柜内，避免二次污染。</w:t>
      </w:r>
    </w:p>
    <w:p w14:paraId="5FA2EC9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19.3 供餐时间、地点、方式</w:t>
      </w:r>
    </w:p>
    <w:p w14:paraId="63FD1E5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19.3.1 供餐时间</w:t>
      </w:r>
    </w:p>
    <w:p w14:paraId="4418688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运动员赛前 2 - 3 小时提供适量易消化的餐食，帮助运动员储备能量；赛后 1 小时内提供富含蛋白质、碳水化合物的恢复餐。</w:t>
      </w:r>
    </w:p>
    <w:p w14:paraId="7ED64BE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工作人员根据不同岗位的工作时间安排，在工作间隙供餐。</w:t>
      </w:r>
    </w:p>
    <w:p w14:paraId="7405CCB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观众从赛事开场至中场休息，以及中场休息至赛事结束，均可提供餐饮服务，满足观众随时就餐的需求。</w:t>
      </w:r>
    </w:p>
    <w:p w14:paraId="2C4DC1B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19.3.2 供餐地点</w:t>
      </w:r>
    </w:p>
    <w:p w14:paraId="69A5797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运动员：如果上午和下午比赛衔接时间比较紧，可在运动员休息区设置专用餐饮区，方便运动员就餐后迅速投入比赛或休息。若时间充裕，可返回酒店用餐。</w:t>
      </w:r>
    </w:p>
    <w:p w14:paraId="111C88A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工作人员：根据岗位分布，在裁判工作区、志愿者服务站等附近设置供餐点，确保工作人员不用长途跋涉就能就餐。若时间充裕，裁判员可返回酒店用餐。</w:t>
      </w:r>
    </w:p>
    <w:p w14:paraId="79D1F08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观众：在赛场观众看台周边设置多个餐饮售卖亭，均匀分布，方便观众就近购买。</w:t>
      </w:r>
    </w:p>
    <w:p w14:paraId="72956C8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19.3.3供餐方式</w:t>
      </w:r>
    </w:p>
    <w:p w14:paraId="2EBA316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运动员：采用自助餐形式，提供多种营养搭配的食物，让运动员自主选择。同时，配备专业营养师，随时为运动员提供饮食建议。</w:t>
      </w:r>
    </w:p>
    <w:p w14:paraId="6694109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工作人员：以盒饭形式为主，根据不同岗位的工作强度和特点，设计不同的盒饭套餐，如高强度体力劳动的安保人员盒饭中加大肉类比重，脑力劳动为主的裁判盒饭中增加蔬菜、水果比例。</w:t>
      </w:r>
    </w:p>
    <w:p w14:paraId="6A10459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观众：售卖亭提供现做小吃、饮料、包装食品等多种形式的餐饮，观众可现金、刷卡或使用移动支付购买。</w:t>
      </w:r>
    </w:p>
    <w:p w14:paraId="4CE6BD9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19.4 供餐禁忌标准</w:t>
      </w:r>
    </w:p>
    <w:p w14:paraId="352F8F0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宗教禁忌：充分尊重不同宗教信仰人群的饮食习惯，如为穆斯林运动员、观众提供清真食品，食品加工过程遵循清真规范，单独存放、单独加工。</w:t>
      </w:r>
    </w:p>
    <w:p w14:paraId="216910F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食物过敏禁忌：在点餐区、餐饮售卖亭醒目位置张贴食物成分表，提醒有食物过敏史的人员注意。对于已知的过敏食物，如花生、海鲜等，在运动员自助餐区、工作人员盒饭中避免使用，观众点餐时可要求替换。</w:t>
      </w:r>
    </w:p>
    <w:p w14:paraId="21D0162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饮食健康禁忌：考虑到运动员比赛期间的身体状况，禁止提供高油脂、高糖、高盐的垃圾食品，如炸鸡、薯片、碳酸饮料等。工作人员盒饭也尽量减少此类食物，以保障他们的健康，维持赛事高效运转。</w:t>
      </w:r>
    </w:p>
    <w:p w14:paraId="4662EAF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p>
    <w:p w14:paraId="405C2DB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20 住宿服务</w:t>
      </w:r>
    </w:p>
    <w:p w14:paraId="5F5AAD0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20.1 住宿安排原则</w:t>
      </w:r>
    </w:p>
    <w:p w14:paraId="5295003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就近原则：优先选择距离比赛场地较近的住宿地点，方便参赛选手、工作人员及观众往返，减少路途奔波，节省交通时间，确保能按时参与赛事各项活动。</w:t>
      </w:r>
    </w:p>
    <w:p w14:paraId="4EDE1AC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分类安排：根据不同人员类别进行区分，如为参赛队伍提供集中住宿区域，便于队伍管理与团队协作；为赛事官员、裁判安排相对安静、独立且便于工作协调的住宿环境；为观众推荐周边不同档次、多样化的住宿选择，满足其个性化需求。</w:t>
      </w:r>
    </w:p>
    <w:p w14:paraId="7C86F2D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20.2 安全要求</w:t>
      </w:r>
    </w:p>
    <w:p w14:paraId="0CB6742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建筑安全：住宿建筑需通过正规消防验收，配备齐全且能正常使用的消防设施，包括灭火器、消火栓、烟雾报警器等，消防通道保持畅通无阻，严禁堆放杂物。定期对建筑结构进行安全检查，排查墙体裂缝、屋顶漏水等隐患，确保在赛事期间住宿安全稳定。</w:t>
      </w:r>
    </w:p>
    <w:p w14:paraId="583EEE9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人员安全：各住宿点设置 24 小时安保值班岗，对进出人员进行严格登记与身份核实，防止无关人员混入。在公共区域安装监控摄像头，覆盖楼道、电梯、大堂等关键位置，监控资料保存不少于20天，以便追溯事件。同时，为住宿人员提供安全知识宣传手册，告知紧急逃生路线、防盗防骗要点等。</w:t>
      </w:r>
    </w:p>
    <w:p w14:paraId="5C845E4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食品安全：若住宿提供餐饮服务，餐饮厨房需符合卫生标准，食材采购源头可追溯，严格把控食品加工流程，做到生熟分开、餐具消毒，每日对食品进行留样，以备检验，预防食物中毒事件发生。</w:t>
      </w:r>
    </w:p>
    <w:p w14:paraId="1744DCD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20.3 卫生条件</w:t>
      </w:r>
    </w:p>
    <w:p w14:paraId="45691AF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客房卫生：房间每日进行全面清洁，更换床单、被套、枕套等床上用品，做到一客一换；擦拭家具表面、清洁地面，确保无灰尘、污渍；卫生间进行深度消毒，包括马桶、浴缸、洗手台等，保证无异味、细菌滋生。</w:t>
      </w:r>
    </w:p>
    <w:p w14:paraId="7F5B6A0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公共区域卫生：大堂、走廊、楼梯等公共区域定时清扫，垃圾及时清运；电梯轿厢每日消毒，扶手、按钮等频繁接触部位增加清洁频次；公共卫生间配备充足的洗手液、卫生纸，保持通风良好，地面干爽，为住宿人员营造整洁舒适的环境。</w:t>
      </w:r>
    </w:p>
    <w:p w14:paraId="317D8F8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20.4 基础设施</w:t>
      </w:r>
    </w:p>
    <w:p w14:paraId="09A613D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住宿设施：房间内配备舒适的床铺，保证良好睡眠质量，桌椅齐全，方便人员休息、办公；空调正常运行，调节室内温度；提供热水供应系统，满足洗漱、沐浴需求，水压稳定，水温适宜。</w:t>
      </w:r>
    </w:p>
    <w:p w14:paraId="7E7AA7C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网络设施：实现无线网络全覆盖，带宽满足多人同时在线使用需求，确保参赛选手、工作人员能顺畅进行赛事信息查询、资料传输、线上沟通等操作，不出现卡顿、掉线情况。</w:t>
      </w:r>
    </w:p>
    <w:p w14:paraId="3B4E440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配套设施：酒店具备洗衣房，提供自助洗衣服务；有小型超市或自动售货机，方便购买生活用品；设置适量停车位，满足自驾人员停车需求，若停车位不足，提前协调周边停车场资源，保障停车便利。</w:t>
      </w:r>
    </w:p>
    <w:p w14:paraId="4EBD7AB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20.5 交通便利条件</w:t>
      </w:r>
    </w:p>
    <w:p w14:paraId="3FDC067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公共交通：住宿点周边500米范围内有公交站点，公交线路覆盖比赛场地及城市主要枢纽，如火车站、汽车站等，运营时间能配合赛事日程，确保早出晚归的人员均有公交可乘。同时，了解附近地铁建设规划，若有在建线路，提前告知住宿人员未来交通改善情况。</w:t>
      </w:r>
    </w:p>
    <w:p w14:paraId="5878C08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专线交通：赛事期间，根据住宿人员集中区域，安排往返比赛场地的专线班车，制定详细的班车时刻表，张贴在住宿点显眼位置，班车准点发车，配备专人跟车，维持乘车秩序，保障人员快速、便捷抵达赛场。</w:t>
      </w:r>
    </w:p>
    <w:p w14:paraId="4DF4179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交通引导：在住宿点大堂设置交通指示牌，标明前往公交站、专线班车乘车点、周边主干道等方向；为自驾人员提供详细的交通地图，标注比赛场地、住宿点、附近加油站、维修点等关键信息，方便出行导航。</w:t>
      </w:r>
    </w:p>
    <w:p w14:paraId="7DF11CE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p>
    <w:p w14:paraId="4B66E66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21 交通服务</w:t>
      </w:r>
    </w:p>
    <w:p w14:paraId="6141F2F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21.1 车辆需求管理</w:t>
      </w:r>
    </w:p>
    <w:p w14:paraId="2B5E560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21.1.1赛前调研：提前与本地参赛队伍、工作人员、志愿者组织、赞助商及预计观赛人数较多的团体沟通，了解他们的交通需求，包括车辆类型（大巴、中巴、小车等）、数量、使用时段（抵达时间、离开时间）。对于外地外地参赛队伍，根据参赛人数、抵达时间、离开时间、以及参赛时间配备专车（大巴车、中巴车）进行点对点服务。</w:t>
      </w:r>
    </w:p>
    <w:p w14:paraId="182D3E6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21.1.2动态调整：根据赛事日程变化、天气情况等因素，实时更新车辆需求预估，确保交通运力既满足需求又不造成浪费。</w:t>
      </w:r>
    </w:p>
    <w:p w14:paraId="648489B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21.2 车辆通行区域</w:t>
      </w:r>
    </w:p>
    <w:p w14:paraId="5808D9E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21.2.1 专属通道设置：在赛场周边道路规划 “龙舟赛事专用通道”，用明显标识牌标注，确保参赛运动员、工作人员、紧急救援车辆等能快速抵达赛场核心区，通道在赛事关键时段（如开幕式）实行交通管制，仅供许可车辆通行。</w:t>
      </w:r>
    </w:p>
    <w:p w14:paraId="38F196A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21.2.2 分流引导路线：对于普通观赛车辆，依据赛场周边路网，设计多条分流引导路线，引导其从不同方向前往停车场，避免车流集中在少数路段造成拥堵，沿途设置清晰的指路标志，每隔一定距离（如 500 米）更新一次剩余路程提示。</w:t>
      </w:r>
    </w:p>
    <w:p w14:paraId="73539A7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21.3 车辆注册管理</w:t>
      </w:r>
    </w:p>
    <w:p w14:paraId="22A41F7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21.3.1 分类注册系统：搭建线上车辆注册平台，分为参赛车辆、工作车辆、志愿者车辆、观赛大巴等不同类别，要求车主或组织负责人填写详细信息，包括车牌号、车辆所属单位、联系人、联系方式、预计到场时间、通行需求时段。</w:t>
      </w:r>
    </w:p>
    <w:p w14:paraId="285F64D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21.3.3 审核与核发：安排专人对注册信息进行审核，通过审核的车辆发放电子通行证或纸质通行证，通行证包含车辆类别、有效时段、可通行区域等信息，电子通行证以二维码或短信形式发送至车主，现场安保凭通行证快速识别放行。</w:t>
      </w:r>
    </w:p>
    <w:p w14:paraId="1F5FF67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21.4 车辆停放管理</w:t>
      </w:r>
    </w:p>
    <w:p w14:paraId="0797555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21.4.1停车场规划：依据赛场周边空地、闲置场地，规划多个停车场，包括大型大巴停车场、小型车停车场，用不同颜色标识区分，预估各停车场容量，合理分配给不同类型车辆，如靠近赛场入口的优先安排工作车辆、参赛运动员车辆。</w:t>
      </w:r>
    </w:p>
    <w:p w14:paraId="0D02029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21.4.2停车引导服务：在赛场周边主要路口、通往停车场道路设置引导人员，身着醒目反光背心，手持指示牌，引导车辆前往指定停车场；停车场内部划分为停车区域、通道，用标线清晰区分，确保车辆停放有序，提高空间利用率，避免车辆相互刮蹭。</w:t>
      </w:r>
    </w:p>
    <w:p w14:paraId="1479DEB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21.5 车辆运行区域划分</w:t>
      </w:r>
    </w:p>
    <w:p w14:paraId="14FD96A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21.5.1核心管制区：设立核心管制区，禁止未经许可的社会车辆进入，只有持有特定区域通行证的车辆（如赛事转播车、医疗急救车、VIP 接待车）在安检后可通行，区内车速严格限制，保障人员安全。</w:t>
      </w:r>
    </w:p>
    <w:p w14:paraId="59D3918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21.5.2缓冲运行区：在核心管制区外设置缓冲运行区，允许注册的工作车辆、志愿者车辆短时间停靠装卸物资、接送人员，但停留时间不得超过规定时长，此区域设置临时停靠点标识，加强巡逻监管，防止长时间违停。</w:t>
      </w:r>
    </w:p>
    <w:p w14:paraId="2C26C1D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21.5.3外围流动区：最外侧为外围流动区，供观赛车辆临时上下客、缓慢通行寻找停车场，交警在此区域疏导交通，确保车流顺畅，避免出现死锁拥堵，与缓冲运行区、核心管制区之间通过物理隔离设施（如水马、隔离栏）隔开。</w:t>
      </w:r>
    </w:p>
    <w:p w14:paraId="63A958E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21.6 上落客政策</w:t>
      </w:r>
    </w:p>
    <w:p w14:paraId="09F02CC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21.6.1指定上落客点设置：在赛场周边不同方位设置多个观赛车辆临时上落客点，靠近入口且不影响交通主干道运行，用明显标识牌标注，每个上落客点安排志愿者协助乘客快速上下车，引导车辆即停即走，完成上落客流程。</w:t>
      </w:r>
    </w:p>
    <w:p w14:paraId="686DB48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21.6.2特殊人群关怀：针对老弱病残孕等特殊人群，设立专用的、更靠近无障碍通道入口的上落客区域，提供轮椅租赁、人员搀扶等服务，确保特殊人群能便捷、安全地进入赛场观赛。</w:t>
      </w:r>
    </w:p>
    <w:p w14:paraId="42ABC0D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p>
    <w:p w14:paraId="21D14FB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22 医疗卫生服务</w:t>
      </w:r>
    </w:p>
    <w:p w14:paraId="27C5BB8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22.1 医疗站点设置</w:t>
      </w:r>
    </w:p>
    <w:p w14:paraId="75C4B43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22.1.1运动员医疗站</w:t>
      </w:r>
    </w:p>
    <w:p w14:paraId="53389C4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设置应靠近运动员检录区与休息区，确保运动员能在短时间内到达。配备专业运动医学医生、护士若干，急救药品（如止痛、止血、扭伤处理药品等）、运动损伤急救设备（如冷敷袋、热敷包、弹性绷带、夹板等），按摩床用于赛后肌肉放松恢复。</w:t>
      </w:r>
    </w:p>
    <w:p w14:paraId="22357F1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22.1.2观众医疗站</w:t>
      </w:r>
    </w:p>
    <w:p w14:paraId="06D28CB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均匀分布于观众看台周边，人流密集区域重点设置。配备全科医生、护士值班，常见药品（感冒药、退烧药、肠胃药等）、基础急救器材（血压计、血糖仪、氧气瓶等），应对观众突发疾病。</w:t>
      </w:r>
    </w:p>
    <w:p w14:paraId="6B87404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22.1.3 临时医疗站</w:t>
      </w:r>
    </w:p>
    <w:p w14:paraId="3E50EF6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设置在比赛水域周边，当水上出现突发状况有运动员落水受伤等情况时，快速响应。急救人员携带水上救援担架、救生圈等急救与水上救援结合的设备，随时待命出发救援。</w:t>
      </w:r>
    </w:p>
    <w:p w14:paraId="5F7595B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22.2 现场医疗和急救转运服务</w:t>
      </w:r>
    </w:p>
    <w:p w14:paraId="0C342F7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22.2.1现场医疗：医疗团队随时在各站点待命，对伤病员进行初步诊断、紧急救治，如伤口清创、心肺复苏等操作。配备移动医疗设备车，可在场地内快速机动，车内具备小型手术室功能，应对严重创伤需紧急手术情况。</w:t>
      </w:r>
    </w:p>
    <w:p w14:paraId="52F185F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22.2.2急救转运：与当地急救中心联动，赛前确定转运路线，确保救护车畅通无阻。配备专业担架员，将重伤员平稳转运至救护车，送往附近定点医院进一步救治。</w:t>
      </w:r>
    </w:p>
    <w:p w14:paraId="46B6A9C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22.3 食品卫生监督监测</w:t>
      </w:r>
    </w:p>
    <w:p w14:paraId="5E50F9B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赛前对赛场周边餐饮摊位、售卖点进行全面检查，核查食品经营许可证、从业人员健康证。比赛期间每日抽检食品样本，检测微生物、添加剂等指标，防止食物中毒事件。</w:t>
      </w:r>
    </w:p>
    <w:p w14:paraId="2B720F5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22.4 公共场所卫生监督监测</w:t>
      </w:r>
    </w:p>
    <w:p w14:paraId="497DB58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对观众看台、卫生间、休息区等公共场所定期检测空气质量（含甲醛、细菌总数等指标）、环境卫生状况。督促保洁人员及时清理垃圾、消毒公共设施，保障环境整洁卫生。</w:t>
      </w:r>
    </w:p>
    <w:p w14:paraId="0847739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22.5 饮用水卫生监督监测</w:t>
      </w:r>
    </w:p>
    <w:p w14:paraId="7FF1740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检测赛场直饮水、桶装水等供水点水质，包括酸碱度、余氯、重金属等参数。确保水源安全，张贴水质合格标识，让运动员、观众放心饮用。</w:t>
      </w:r>
    </w:p>
    <w:p w14:paraId="1C2C1EC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22.6 传染病防控</w:t>
      </w:r>
    </w:p>
    <w:p w14:paraId="1657CCD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赛前收集参赛人员、工作人员健康信息，排查发热、咳嗽等传染病症状人员。对赛场进行全面消毒，特别是公共接触区域。</w:t>
      </w:r>
    </w:p>
    <w:p w14:paraId="756BB8C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赛中各医疗站点设置发热筛查点，对疑似传染病患者隔离诊断。加强宣传传染病防控知识，引导人员做好个人防护（如戴口罩、勤洗手）。</w:t>
      </w:r>
    </w:p>
    <w:p w14:paraId="14838DB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22.7 紧急用药政策</w:t>
      </w:r>
    </w:p>
    <w:p w14:paraId="3EA5E36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建立绿色通道，与周边药房、药企合作，紧急情况下可快速调配稀缺药品。赛前根据常见伤病情况，储备足够的应急药品，保障赛事期间用药需求。</w:t>
      </w:r>
    </w:p>
    <w:p w14:paraId="338945E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22.8 公共卫生事件防控政策</w:t>
      </w:r>
    </w:p>
    <w:p w14:paraId="00DAB8A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制定应急预案，明确不同类型公共卫生事件（如传染病爆发、食物中毒聚集性事件等）的响应流程、责任分工。一旦发生公共卫生事件，及时通过赛场广播、官方渠道向运动员、观众发布准确信息，避免恐慌。</w:t>
      </w:r>
    </w:p>
    <w:p w14:paraId="01D9784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22.9 临时隔离点配置</w:t>
      </w:r>
    </w:p>
    <w:p w14:paraId="143E39E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地址选择通风良好、相对独立区域，远离人群密集区，如赛场角落的空旷房间或帐篷。配备隔离床、桌椅、消毒用品、防护用具，保障隔离人员基本生活需求与卫生条件。</w:t>
      </w:r>
    </w:p>
    <w:p w14:paraId="37C6A3A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22.10 临时隔离管理措施</w:t>
      </w:r>
    </w:p>
    <w:p w14:paraId="5D87DB2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安排专人负责隔离点，对隔离人员进行登记、健康监测，禁止无关人员进出。规范处理隔离人员生活垃圾、医疗垃圾，防止二次污染。</w:t>
      </w:r>
    </w:p>
    <w:p w14:paraId="7B6E8AB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22.11 涉疫信息上报制度</w:t>
      </w:r>
    </w:p>
    <w:p w14:paraId="474EE23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各医疗站点、工作人员发现涉疫异常情况，第一时间向赛事疫情防控负责人报告。按规定时间节点向当地卫生健康部门、疾控中心上报详细信息，包括人员症状、接触史等。</w:t>
      </w:r>
    </w:p>
    <w:p w14:paraId="52CF23A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22.12 公共卫生事件管理指挥体系</w:t>
      </w:r>
    </w:p>
    <w:p w14:paraId="423DE56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成立领导小组，由赛事主办方、卫生健康部门、公安等多部门组成，负责统筹协调防控工作。各部门分工协作，如卫生部门负责医疗救治、疾控部门负责流调消杀、公安部门维护秩序等。</w:t>
      </w:r>
    </w:p>
    <w:p w14:paraId="000CB40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22.13 防疫物资准备</w:t>
      </w:r>
    </w:p>
    <w:p w14:paraId="7855DB2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理清物资清单，储备充足口罩、防护服、护目镜、手套、消毒酒精、洗手液等防护消毒物资。加强物资管理，专人负责物资出入库登记，赛前检查物资有效期、数量，及时补充短缺物资。</w:t>
      </w:r>
    </w:p>
    <w:p w14:paraId="5444E12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p>
    <w:p w14:paraId="0D25147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23 安保服务</w:t>
      </w:r>
    </w:p>
    <w:p w14:paraId="0E5303A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23.1 安保运行区域划分政策</w:t>
      </w:r>
    </w:p>
    <w:p w14:paraId="21C75EF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23.1.1核心比赛区域：包括运动员休息区、检录区、登舟区、赛道、起终点区域、主席台、颁奖区等。此区域设置硬质隔离设施，仅限参赛运动员、裁判员、工作人员凭有效证件进出。在出入口安排专人值守，严格核实身份信息，确保无关人员不得入内。</w:t>
      </w:r>
    </w:p>
    <w:p w14:paraId="36ECD24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23.1.2 观众观赛区</w:t>
      </w:r>
    </w:p>
    <w:p w14:paraId="2F75AC8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根据赛场地形和预计观众人数，合理划分多个观赛区，利用围栏、绳索等进行分区隔离。每个观赛区设置若干出入口，配备充足的安检设备和安保人员，引导观众有序入场、退场。</w:t>
      </w:r>
    </w:p>
    <w:p w14:paraId="20D620B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在观赛区内合理布局通道，确保人员流动顺畅，避免出现拥挤、堵塞现象。同时，预留紧急疏散通道，并设置明显标识，以便在紧急情况下快速疏散观众。</w:t>
      </w:r>
    </w:p>
    <w:p w14:paraId="004F768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23.1.3后勤保障区域</w:t>
      </w:r>
    </w:p>
    <w:p w14:paraId="42F5B68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涵盖医疗救护区、物资存放区、媒体工作区等。对该区域实施封闭管理，凭相应工作证件进出，安保人员定时巡逻，确保区域内设施设备安全及人员正常工作秩序。</w:t>
      </w:r>
    </w:p>
    <w:p w14:paraId="092C280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物资存放区设置专人看守，对进出物资进行详细登记，防止比赛物资被盗或损坏。</w:t>
      </w:r>
    </w:p>
    <w:p w14:paraId="4E9E21A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23.2 巡逻防控、秩序维护</w:t>
      </w:r>
    </w:p>
    <w:p w14:paraId="112334E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23.2.1巡逻安排</w:t>
      </w:r>
    </w:p>
    <w:p w14:paraId="27D4F7A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组建多支巡逻小组，采用徒步巡逻与车辆巡逻相结合的方式。徒步巡逻小组在观众区、周边道路等人员密集和关键区域进行不间断巡逻，重点关注人员动态、治安状况，及时发现并处理纠纷、拥挤等问题。</w:t>
      </w:r>
    </w:p>
    <w:p w14:paraId="4974159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车辆巡逻队负责赛场周边较大范围的巡逻防控，包括停车场、交通要道等，确保周边交通顺畅，及时发现可疑车辆、人员，对突发事件进行快速响应。</w:t>
      </w:r>
    </w:p>
    <w:p w14:paraId="433B38B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23.2.2秩序维护要点</w:t>
      </w:r>
    </w:p>
    <w:p w14:paraId="0780622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在比赛开场、中场休息、散场等人员流动高峰时段，增派安保力量，加强各出入口、通道、看台等重点部位的秩序维护。引导观众按指定路线入场、退场，避免人群对冲、拥挤踩踏事故发生。</w:t>
      </w:r>
    </w:p>
    <w:p w14:paraId="2A4CFFE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及时制止观众的不文明行为，如翻越栏杆、乱丢垃圾等，维护赛场文明、有序的观赛环境。对违反规定且不听劝阻的人员，依法依规进行处理。</w:t>
      </w:r>
    </w:p>
    <w:p w14:paraId="6C30DEF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23.3 消防、水、电设施设备运行督查</w:t>
      </w:r>
    </w:p>
    <w:p w14:paraId="384EC00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23.3.1消防设施检查</w:t>
      </w:r>
    </w:p>
    <w:p w14:paraId="051D2D1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赛前对赛场内所有消防设施进行全面检查，包括灭火器、消火栓、消防喷淋系统等，确保其完好有效。记录消防设施的位置、数量及检查情况，便于紧急情况下快速取用。</w:t>
      </w:r>
    </w:p>
    <w:p w14:paraId="79F7063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清理消防通道上的障碍物，保证通道畅通无阻。严禁在消防通道上停放车辆、堆放杂物，对违规行为及时责令整改。</w:t>
      </w:r>
    </w:p>
    <w:p w14:paraId="537D941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23.3.2水电设施巡查</w:t>
      </w:r>
    </w:p>
    <w:p w14:paraId="6663A6F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安排专业技术人员对赛场的供电、供水系统进行定时巡查，重点检查配电室、配电箱、水泵房等关键部位。密切关注水电设备的运行参数，及时发现并排除故障隐患，确保比赛期间水电供应稳定。</w:t>
      </w:r>
    </w:p>
    <w:p w14:paraId="1D39699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在比赛现场配备应急发电设备和储水设施，制定应急预案，确保在突发水电故障时能够迅速切换，保障赛事基本运行需求。</w:t>
      </w:r>
    </w:p>
    <w:p w14:paraId="483F873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23.4 特别区域安保</w:t>
      </w:r>
    </w:p>
    <w:p w14:paraId="1E0A239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23.4.1水上救援区域</w:t>
      </w:r>
    </w:p>
    <w:p w14:paraId="1F5E461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在赛道两侧沿线合理配置水上救援力量，包括专业救生艇、救生员等。救生员提前熟悉水域情况，在比赛期间全神贯注，随时准备应对参赛船只翻覆、运动员落水等突发情况。</w:t>
      </w:r>
    </w:p>
    <w:p w14:paraId="7237EB7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水上救援区域与岸边指挥中心保持密切通讯联系，一旦发现紧急情况，能够迅速联动，实施高效救援。</w:t>
      </w:r>
    </w:p>
    <w:p w14:paraId="36C93AB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23.4.2贵宾接待区域</w:t>
      </w:r>
    </w:p>
    <w:p w14:paraId="0E91604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对贵宾接待区实施高标准安保措施，入口处设置严格的安检关卡，对进入人员及其携带物品进行细致安检。区域内配备专属安保人员，提供 24 小时不间断的安全守护，确保贵宾人身财产安全及活动顺利进行。</w:t>
      </w:r>
    </w:p>
    <w:p w14:paraId="4C1F150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根据贵宾行程安排，提前规划安全路线，在沿途部署安保力量，保障贵宾出行安全、顺畅。</w:t>
      </w:r>
    </w:p>
    <w:p w14:paraId="6D381CC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23.5突发事件先期处置</w:t>
      </w:r>
    </w:p>
    <w:p w14:paraId="6EBC0F4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23.5.1建立快速响应机制</w:t>
      </w:r>
    </w:p>
    <w:p w14:paraId="1EF3941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安保指挥中心设置专门的应急调度岗位，配备先进的通讯设备，确保一旦接到突发事件报告，能够迅速核实情况，下达处置指令。</w:t>
      </w:r>
    </w:p>
    <w:p w14:paraId="3CACF0E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各安保岗位人员熟悉突发事件报告流程，在发现问题的第一时间向指挥中心报告，同时采取必要的先期控制措施，防止事态扩大。</w:t>
      </w:r>
    </w:p>
    <w:p w14:paraId="550FE03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23.5.2常见突发事件先期处置方法</w:t>
      </w:r>
    </w:p>
    <w:p w14:paraId="5024195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人员受伤：现场安保人员立即通知医疗救护人员赶赴现场，协助疏散围观群众，为伤员开辟救援通道，确保医疗救护工作及时、顺利开展。</w:t>
      </w:r>
    </w:p>
    <w:p w14:paraId="332FADD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群众纠纷：迅速上前制止冲突双方，将涉事人员带离现场至相对安静区域，了解事情缘由，耐心劝解，避免矛盾升级。如纠纷较为严重，及时移交公安机关处理。</w:t>
      </w:r>
    </w:p>
    <w:p w14:paraId="25ACBE1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23.6人检和车检政策</w:t>
      </w:r>
    </w:p>
    <w:p w14:paraId="68861C0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23.6.1人员安检</w:t>
      </w:r>
    </w:p>
    <w:p w14:paraId="274BC3C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在赛场各出入口设置安检门、X 光 检测仪等安检设备，对入场观众、工作人员进行全面安检。要求观众配合打开背包、口袋等接受检查，严禁携带易燃易爆、管制刀具、瓶装液体等危险物品入场。</w:t>
      </w:r>
    </w:p>
    <w:p w14:paraId="3017E66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对运动员、裁判员、媒体记者等特殊人群，在安检时核对其有效证件，在确保身份无误的基础上，适当简化安检流程，但仍需检查其携带的专业器材、设备是否存在安全隐患。</w:t>
      </w:r>
    </w:p>
    <w:p w14:paraId="3BBA694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23.6.2车辆安检</w:t>
      </w:r>
    </w:p>
    <w:p w14:paraId="2175F90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在赛场周边停车场入口设置车辆安检关卡，对入场车辆进行检查，包括车身外观、后备箱、车内储物箱等部位。严禁车辆携带危险化学品、爆炸物等违禁物品进入停车场。</w:t>
      </w:r>
    </w:p>
    <w:p w14:paraId="772116A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对于大型客车、货车等重点车辆，进行更为细致的检查，要求司机出示相关证件，登记车辆信息、行程路线等，确保车辆安全可靠、来源合法。</w:t>
      </w:r>
    </w:p>
    <w:p w14:paraId="45673CA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23.7禁/限物品管理</w:t>
      </w:r>
    </w:p>
    <w:p w14:paraId="43F3A06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23.7.1明确禁限物品清单</w:t>
      </w:r>
    </w:p>
    <w:p w14:paraId="5DAA3A2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制定详细的禁限物品清单，通过赛场公告、官方网站、社交媒体等多种渠道向公众广泛宣传，让观众提前知晓哪些物品禁止携带或限制携带。</w:t>
      </w:r>
    </w:p>
    <w:p w14:paraId="7197324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禁带物品主要包括各类枪支弹药、管制刀具、烟花爆竹、易燃液体、剧毒化学品等具有明显危险性的物品；限带物品如充电宝（规定容量以下）、小型折叠伞、自用食品饮料（非玻璃瓶装）等，需按规定进行检查、存放后携带入场。</w:t>
      </w:r>
    </w:p>
    <w:p w14:paraId="41FF642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23.7.2物品处置流程</w:t>
      </w:r>
    </w:p>
    <w:p w14:paraId="68791FD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在安检过程中发现禁带物品，安保人员向携带人详细解释相关规定，要求其自行选择放弃物品、交由亲友带回或暂存于指定地点（赛后领取）。对于拒不配合的人员，依法依规进行处理。</w:t>
      </w:r>
    </w:p>
    <w:p w14:paraId="206AEC5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对限带物品，安检人员按照规定进行检查、登记，确保其符合安全标准后，允许携带人带入赛场指定区域妥善保管、使用。</w:t>
      </w:r>
    </w:p>
    <w:p w14:paraId="6DCF42D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23.8可疑物处理</w:t>
      </w:r>
    </w:p>
    <w:p w14:paraId="286EA57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23.8.1发现与报告</w:t>
      </w:r>
    </w:p>
    <w:p w14:paraId="4FD6F68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安保人员在巡逻、安检或日常值守过程中，如发现无人看管的包裹、箱子或其他可疑物品，应立即停止手头工作，保持现场原状，并迅速向安保指挥中心报告。报告时需准确描述可疑物的位置、外观特征、发现时间等关键信息。</w:t>
      </w:r>
    </w:p>
    <w:p w14:paraId="3DA89A7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23.8.2应急处置措施</w:t>
      </w:r>
    </w:p>
    <w:p w14:paraId="2FCB06A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指挥中心接到报告后，迅速启动可疑物处置预案。一方面，组织周边安保人员疏散附近群众，设置警戒区域，防止无关人员靠近；另一方面，通知专业排爆人员携带装备赶赴现场，对可疑物进行甄别、处置。在排爆过程中，密切配合，确保人员安全和现场秩序稳定。</w:t>
      </w:r>
    </w:p>
    <w:p w14:paraId="03857BF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23.9群众治安事件控制措施</w:t>
      </w:r>
    </w:p>
    <w:p w14:paraId="09DFEAA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23.9.1预警监测</w:t>
      </w:r>
    </w:p>
    <w:p w14:paraId="27E12A5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通过视频监控系统、安保人员巡逻反馈等多种途径，实时关注赛场内外群众情绪、行为动态，建立治安事件预警机制。一旦发现人群聚集、情绪激动等异常迹象，及时分析研判，发出预警信号。</w:t>
      </w:r>
    </w:p>
    <w:p w14:paraId="02A8095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23.9.1现场控制</w:t>
      </w:r>
    </w:p>
    <w:p w14:paraId="61AF94E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当发生群众治安事件时，安保人员迅速赶赴现场，组成人墙或利用防护装备隔离冲突双方，防止事态进一步恶化。同时，通过扩音设备向群众喊话，表明身份，告知群众保持冷静，听从指挥，有序疏散。</w:t>
      </w:r>
    </w:p>
    <w:p w14:paraId="27A15C4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合理调配警力和安保资源，对带头闹事、违法犯罪人员进行重点控制，依法进行处理，尽快恢复现场秩序。</w:t>
      </w:r>
    </w:p>
    <w:p w14:paraId="03AE0C8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23.10突发恐怖暴力事件处理措施</w:t>
      </w:r>
    </w:p>
    <w:p w14:paraId="250CD23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23.10.1应急预案制定与演练</w:t>
      </w:r>
    </w:p>
    <w:p w14:paraId="38B21A4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结合赛场实际情况，制定完善的突发恐怖暴力事件应急预案，明确各部门、各岗位在应急处置中的职责、任务和协同机制。定期组织安保人员、相关工作人员开展反恐应急演练，提高应对恐怖暴力事件的实战能力。</w:t>
      </w:r>
    </w:p>
    <w:p w14:paraId="06F4DEA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23.10.2应急处置流程</w:t>
      </w:r>
    </w:p>
    <w:p w14:paraId="732ACE3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一旦发生恐怖暴力事件，现场安保人员立即进行自卫反击，保护周边群众生命安全，同时向指挥中心报警。指挥中心迅速启动应急预案，协调公安、武警、医疗等多部门力量赶赴现场。</w:t>
      </w:r>
    </w:p>
    <w:p w14:paraId="263DBA4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公安、武警迅速封锁现场，围捕恐怖暴力分子；医疗救护人员在安全区域搭建临时救护点，对受伤群众进行紧急救治；安保人员协助疏散群众，维护现场秩序，确保救援、处置工作顺利进行。在事件处置结束后，配合公安机关进行现场勘查、调查取证等后续工作，总结经验教训，完善安保措施。</w:t>
      </w:r>
    </w:p>
    <w:p w14:paraId="1ABA067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p>
    <w:p w14:paraId="704696A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24 人力资源和志愿者服务</w:t>
      </w:r>
    </w:p>
    <w:p w14:paraId="57FB419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24.1 人力资源需求</w:t>
      </w:r>
    </w:p>
    <w:p w14:paraId="69821DA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24.1.1赛事组织管理人员：负责整个赛事的策划、筹备、协调与执行，包括赛程安排、场地布置、物资采购、参赛队伍联络等工作，需具备丰富的赛事组织经验和较强的沟通协调能力。</w:t>
      </w:r>
    </w:p>
    <w:p w14:paraId="1EB2C32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24.1.2安全保障人员：保障比赛现场及周边水域安全，包括水上救生员、岸上安保人员。水上救生员要熟练掌握水上救援技能，持有相关资质证书；岸上安保人员负责维持观众秩序、管控出入口等。</w:t>
      </w:r>
    </w:p>
    <w:p w14:paraId="34EED98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24.1.3医疗救护人员：在赛场设置医疗急救站，配备专业医生、护士，能够及时处理运动员、观众突发伤病情况，准备常见急救药品与设备。</w:t>
      </w:r>
    </w:p>
    <w:p w14:paraId="4BB73A4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24.1.4设备维护人员：赛前、赛中对龙舟、赛道、码头设施、计时计分设备等进行检查调试，比赛期间随时待命应对设备故障，应具备相关技术维修技能。</w:t>
      </w:r>
    </w:p>
    <w:p w14:paraId="6CED0E4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以上人员数量根据实际比赛规模而定。</w:t>
      </w:r>
    </w:p>
    <w:p w14:paraId="2144181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24.2 志愿者与辅助裁判需求</w:t>
      </w:r>
    </w:p>
    <w:p w14:paraId="5B5ECAD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24.2.1志愿者需求</w:t>
      </w:r>
    </w:p>
    <w:p w14:paraId="4B6C2F2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引导志愿者：在赛场入口、停车场、观众席等区域引导观众入场、就座，解答观众疑问，帮助维持现场秩序，要热情开朗、熟悉场地布局的志愿者。</w:t>
      </w:r>
    </w:p>
    <w:p w14:paraId="7E718DF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后勤保障志愿者：协助赛事组织方进行物资搬运、分发，保障运动员休息区、媒体工作区物资供应，为工作人员和志愿者提供餐饮服务等。</w:t>
      </w:r>
    </w:p>
    <w:p w14:paraId="31D23C8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文化宣传志愿者：向观众、游客宣传龙舟文化，发放赛事宣传资料，通过拍照、摄像记录赛事精彩瞬间用于后期宣传。</w:t>
      </w:r>
    </w:p>
    <w:p w14:paraId="66F34D62">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比赛志愿者：协助裁判进行赛事的组织，保障赛事的顺利、流畅的进行。</w:t>
      </w:r>
    </w:p>
    <w:p w14:paraId="37B1A24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24.2.2辅助裁判需求：协助各岗位裁判长完成比赛中的一些基础裁判工作，如协助检查参赛队伍装备是否符合规定、记录比赛成绩、举牌示意犯规、起点取齐等工作，要求熟悉比赛规则，具备一定的体育赛事服务经验，具有体育工作经验者或体育教师为宜，水上的辅助裁判须会游泳。</w:t>
      </w:r>
    </w:p>
    <w:p w14:paraId="1055868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以上人员数量根据实际比赛规模而定。与赛事组织有关的志愿者和辅助裁判根据各项赛事总裁判长提供的人员清单确定。</w:t>
      </w:r>
    </w:p>
    <w:p w14:paraId="4122FFE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p>
    <w:p w14:paraId="1450E1C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25 赞助商服务</w:t>
      </w:r>
    </w:p>
    <w:p w14:paraId="0282FC32">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25.1 赞助商现场展示</w:t>
      </w:r>
    </w:p>
    <w:p w14:paraId="327FACD5">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25.1.1专属展示区设立：在赛场的显眼位置，如观众入口、主看台周边、运动员休息区附近等，为不同等级的赞助商划分专属展示区域。展示区采用定制化设计，融入赞助商的品牌元素，如品牌标识、主题色等，通过搭建富有创意的展示台、展板，展示赞助商的产品、企业文化与发展历程。</w:t>
      </w:r>
    </w:p>
    <w:p w14:paraId="230918C7">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25.1.2产品体验互动：安排专门的工作人员引导观众、运动员参与赞助商产品的现场体验活动。</w:t>
      </w:r>
    </w:p>
    <w:p w14:paraId="68EA403E">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25.1.3舞台表演与品牌植入：在赛场的表演时段，巧妙融入赞助商元素。</w:t>
      </w:r>
    </w:p>
    <w:p w14:paraId="0DFB56B8">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25.2 场馆广告</w:t>
      </w:r>
    </w:p>
    <w:p w14:paraId="71D98E75">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25.2.1静态广告投放</w:t>
      </w:r>
    </w:p>
    <w:p w14:paraId="45BA1336">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围栏广告：沿着赛场周边的围栏，张贴大型海报广告，确保观众从各个角度入场都能清晰看到赞助商广告。广告画面设计突出品牌核心信息，结合龙舟比赛的动感元素，吸引观众目光。</w:t>
      </w:r>
    </w:p>
    <w:p w14:paraId="53D0D061">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看台广告：在观众看台的座椅靠背、台阶侧面、扶手栏杆等位置，设置不同规格的广告位，使观众在观赛过程中随时能接触到赞助商品牌。根据看台区域的人流量与视野优势，合理分配不同级别赞助商的广告位置。</w:t>
      </w:r>
    </w:p>
    <w:p w14:paraId="5C8F1947">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场馆内部标识广告：在场馆的入口指示牌、通道标识牌、卫生间标识牌等功能性标识上，融入赞助商广告。将品牌标识与引导信息巧妙结合，既不影响观众识别，又能增加广告展示频次。</w:t>
      </w:r>
    </w:p>
    <w:p w14:paraId="28738102">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25.2.2动态广告呈现：</w:t>
      </w:r>
    </w:p>
    <w:p w14:paraId="0274BB1D">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电子大屏广告：利用赛场的大型电子显示屏，在比赛间隙、赛前预热、颁奖环节等时段播放赞助商的视频广告。广告内容包括品牌宣传片、产品广告片、促销活动信息等，通过高清、动态的画面吸引观众注意力，配合震撼的音效，营造强烈的视听冲击。</w:t>
      </w:r>
    </w:p>
    <w:p w14:paraId="5B477A92">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投影广告：在赛场的地面、建筑墙面等位置，运用投影技术投放赞助商广告。尤其是在夜间比赛时，光影效果能营造出独特的氛围，让广告更加醒目。投影广告可以根据比赛进程、现场气氛切换不同的画面，实现多样化的展示效果。</w:t>
      </w:r>
    </w:p>
    <w:p w14:paraId="1AD9259D">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25.3 赞助商识别</w:t>
      </w:r>
    </w:p>
    <w:p w14:paraId="62FEB12E">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25.3.1标识展示规范</w:t>
      </w:r>
    </w:p>
    <w:p w14:paraId="145DE60D">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制定统一的赞助商标识展示规范，要求在赛场的所有宣传物料、工作人员服装、赛事设备等上面，按照赞助商的赞助级别，合理展示品牌标识。</w:t>
      </w:r>
    </w:p>
    <w:p w14:paraId="5F098951">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25.3.2主持人及解说提及</w:t>
      </w:r>
    </w:p>
    <w:p w14:paraId="2CA4D42C">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在赛事直播、现场解说过程中，主持人与解说员按照既定的脚本，定时、高频次地提及赞助商名称、感谢赞助商支持。</w:t>
      </w:r>
    </w:p>
    <w:p w14:paraId="43E701FE">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25.3.3媒体宣传配合</w:t>
      </w:r>
    </w:p>
    <w:p w14:paraId="7990C49D">
      <w:pPr>
        <w:keepNext w:val="0"/>
        <w:keepLines w:val="0"/>
        <w:pageBreakBefore w:val="0"/>
        <w:widowControl w:val="0"/>
        <w:shd w:val="clear" w:color="auto" w:fill="FFFFFF"/>
        <w:kinsoku/>
        <w:wordWrap/>
        <w:overflowPunct/>
        <w:topLinePunct w:val="0"/>
        <w:autoSpaceDE/>
        <w:autoSpaceDN/>
        <w:bidi w:val="0"/>
        <w:adjustRightInd/>
        <w:snapToGrid/>
        <w:spacing w:after="0"/>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与赛事合作的媒体单位，在赛前、赛中、赛后的新闻报道、专题文章、社交媒体推送中，统一遵循赞助商识别规则。</w:t>
      </w:r>
    </w:p>
    <w:p w14:paraId="5B7B01A0">
      <w:pPr>
        <w:shd w:val="clear" w:color="auto" w:fill="FFFFFF"/>
        <w:adjustRightInd/>
        <w:snapToGrid/>
        <w:spacing w:after="0"/>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p>
    <w:p w14:paraId="6E7A00D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26 附  则</w:t>
      </w:r>
    </w:p>
    <w:p w14:paraId="597F1E7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26.1本指南适用于我国境内（不含香港特别行政区、澳门特别行政区、台湾省）举办的各类龙舟赛事及相关活动，为龙舟赛事办赛方提供技术服务和指导参考。</w:t>
      </w:r>
    </w:p>
    <w:p w14:paraId="5F3FBE4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lang w:val="en-US" w:eastAsia="zh-CN"/>
          <w14:textFill>
            <w14:solidFill>
              <w14:schemeClr w14:val="tx1"/>
            </w14:solidFill>
          </w14:textFill>
        </w:rPr>
        <w:t>26.2本指南解释权属于国家体育总局社会体育中心和中国龙舟协会。</w:t>
      </w:r>
    </w:p>
    <w:p w14:paraId="22CFD5F0">
      <w:pPr>
        <w:rPr>
          <w:rFonts w:hint="eastAsia" w:ascii="Times New Roman" w:hAnsi="Times New Roman" w:cs="Times New Roman" w:eastAsiaTheme="minorEastAsia"/>
          <w:lang w:eastAsia="zh-CN"/>
        </w:rPr>
      </w:pPr>
      <w:bookmarkStart w:id="0" w:name="_GoBack"/>
      <w:bookmarkEnd w:id="0"/>
    </w:p>
    <w:sectPr>
      <w:footerReference r:id="rId3" w:type="default"/>
      <w:pgSz w:w="11906" w:h="16838"/>
      <w:pgMar w:top="1417" w:right="1417" w:bottom="1417"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5D0F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8A0C5D">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88A0C5D">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10365"/>
    <w:rsid w:val="02535CBD"/>
    <w:rsid w:val="03367AB9"/>
    <w:rsid w:val="03D472D2"/>
    <w:rsid w:val="03E07C9C"/>
    <w:rsid w:val="045D4DBA"/>
    <w:rsid w:val="04BF588C"/>
    <w:rsid w:val="05243941"/>
    <w:rsid w:val="05BD613B"/>
    <w:rsid w:val="06BA27AF"/>
    <w:rsid w:val="088A7F5F"/>
    <w:rsid w:val="08FE5215"/>
    <w:rsid w:val="0A5B5249"/>
    <w:rsid w:val="0E813BB2"/>
    <w:rsid w:val="107F4121"/>
    <w:rsid w:val="11AF4034"/>
    <w:rsid w:val="1254115C"/>
    <w:rsid w:val="146A7901"/>
    <w:rsid w:val="19185113"/>
    <w:rsid w:val="197E58BE"/>
    <w:rsid w:val="1B46240B"/>
    <w:rsid w:val="1EDB10BC"/>
    <w:rsid w:val="20B41BC5"/>
    <w:rsid w:val="21415B4F"/>
    <w:rsid w:val="226F0499"/>
    <w:rsid w:val="24247062"/>
    <w:rsid w:val="24AD7057"/>
    <w:rsid w:val="251D41DD"/>
    <w:rsid w:val="25EE7945"/>
    <w:rsid w:val="26854CAF"/>
    <w:rsid w:val="279727DD"/>
    <w:rsid w:val="27A243AF"/>
    <w:rsid w:val="2859377E"/>
    <w:rsid w:val="28B704A4"/>
    <w:rsid w:val="2CBD0053"/>
    <w:rsid w:val="2E3F1BB5"/>
    <w:rsid w:val="30077F63"/>
    <w:rsid w:val="31126BC0"/>
    <w:rsid w:val="32342338"/>
    <w:rsid w:val="33CA57E8"/>
    <w:rsid w:val="387168C2"/>
    <w:rsid w:val="38EF6DE0"/>
    <w:rsid w:val="3AB6680E"/>
    <w:rsid w:val="3D7B7564"/>
    <w:rsid w:val="3E916C1F"/>
    <w:rsid w:val="3F5C54AA"/>
    <w:rsid w:val="41120516"/>
    <w:rsid w:val="41990C37"/>
    <w:rsid w:val="432B1CD8"/>
    <w:rsid w:val="451E4AEF"/>
    <w:rsid w:val="45857508"/>
    <w:rsid w:val="462A00B0"/>
    <w:rsid w:val="48AC74A2"/>
    <w:rsid w:val="4A363D3B"/>
    <w:rsid w:val="4B49722A"/>
    <w:rsid w:val="4B6F5789"/>
    <w:rsid w:val="4F26273B"/>
    <w:rsid w:val="4F6939F7"/>
    <w:rsid w:val="4FED4228"/>
    <w:rsid w:val="501A73E7"/>
    <w:rsid w:val="5028404D"/>
    <w:rsid w:val="536966BB"/>
    <w:rsid w:val="553D4AA7"/>
    <w:rsid w:val="576C3832"/>
    <w:rsid w:val="59B242F7"/>
    <w:rsid w:val="5BFC111C"/>
    <w:rsid w:val="60A056E7"/>
    <w:rsid w:val="625C1DEA"/>
    <w:rsid w:val="6324615B"/>
    <w:rsid w:val="63A4729C"/>
    <w:rsid w:val="64AD7237"/>
    <w:rsid w:val="65736F26"/>
    <w:rsid w:val="66284B57"/>
    <w:rsid w:val="667C62AE"/>
    <w:rsid w:val="6AF64881"/>
    <w:rsid w:val="6B1A1EB5"/>
    <w:rsid w:val="6C6A0E2B"/>
    <w:rsid w:val="72D01843"/>
    <w:rsid w:val="74FA6D1C"/>
    <w:rsid w:val="795E2B1F"/>
    <w:rsid w:val="7A886C4E"/>
    <w:rsid w:val="7B203043"/>
    <w:rsid w:val="7BFE409F"/>
    <w:rsid w:val="7E8807F6"/>
    <w:rsid w:val="7F166E48"/>
    <w:rsid w:val="7FEB2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24846</Words>
  <Characters>27085</Characters>
  <Lines>0</Lines>
  <Paragraphs>0</Paragraphs>
  <TotalTime>5</TotalTime>
  <ScaleCrop>false</ScaleCrop>
  <LinksUpToDate>false</LinksUpToDate>
  <CharactersWithSpaces>27563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2024-12-24T05:03:00Z</dcterms:created>
  <dc:creator>d</dc:creator>
  <cp:lastModifiedBy>WPS大会员</cp:lastModifiedBy>
  <dcterms:modified xsi:type="dcterms:W3CDTF">2026-04-10T16:22:08Z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BA20452D45B7401BBB2239F413D24751_12</vt:lpwstr>
  </property>
  <property fmtid="{D5CDD505-2E9C-101B-9397-08002B2CF9AE}" pid="4" name="KSOTemplateDocerSaveRecord">
    <vt:lpwstr>eyJoZGlkIjoiMzEwNTM5NzYwMDRjMzkwZTVkZjY2ODkwMGIxNGU0OTUiLCJ1c2VySWQiOiIxNDY1ODQ3MzAyIn0=</vt:lpwstr>
  </property>
</Properties>
</file>