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64B90">
      <w:pPr>
        <w:pStyle w:val="2"/>
        <w:keepNext w:val="0"/>
        <w:keepLines w:val="0"/>
        <w:widowControl/>
        <w:suppressLineNumbers w:val="0"/>
        <w:rPr>
          <w:rFonts w:hint="default" w:eastAsia="宋体"/>
          <w:sz w:val="15"/>
          <w:szCs w:val="15"/>
          <w:lang w:val="en-US" w:eastAsia="zh-CN"/>
        </w:rPr>
      </w:pPr>
      <w:r>
        <w:rPr>
          <w:rStyle w:val="11"/>
          <w:rFonts w:hint="eastAsia"/>
          <w:b/>
          <w:sz w:val="15"/>
          <w:szCs w:val="15"/>
          <w:lang w:val="en-US" w:eastAsia="zh-CN"/>
        </w:rPr>
        <w:t xml:space="preserve">                                                                    </w:t>
      </w:r>
    </w:p>
    <w:p w14:paraId="390B86E0">
      <w:pPr>
        <w:pStyle w:val="2"/>
        <w:keepNext w:val="0"/>
        <w:keepLines w:val="0"/>
        <w:widowControl/>
        <w:suppressLineNumbers w:val="0"/>
        <w:jc w:val="center"/>
        <w:rPr>
          <w:rStyle w:val="11"/>
          <w:b/>
        </w:rPr>
      </w:pPr>
    </w:p>
    <w:p w14:paraId="256F2610">
      <w:pPr>
        <w:pStyle w:val="2"/>
        <w:keepNext w:val="0"/>
        <w:keepLines w:val="0"/>
        <w:widowControl/>
        <w:suppressLineNumbers w:val="0"/>
        <w:jc w:val="center"/>
        <w:rPr>
          <w:rStyle w:val="11"/>
          <w:b/>
          <w:sz w:val="84"/>
          <w:szCs w:val="84"/>
        </w:rPr>
      </w:pPr>
    </w:p>
    <w:p w14:paraId="4E05EA19">
      <w:pPr>
        <w:pStyle w:val="2"/>
        <w:keepNext w:val="0"/>
        <w:keepLines w:val="0"/>
        <w:widowControl/>
        <w:suppressLineNumbers w:val="0"/>
        <w:jc w:val="center"/>
        <w:rPr>
          <w:sz w:val="72"/>
          <w:szCs w:val="72"/>
        </w:rPr>
      </w:pPr>
      <w:r>
        <w:rPr>
          <w:rStyle w:val="11"/>
          <w:b/>
          <w:sz w:val="72"/>
          <w:szCs w:val="72"/>
        </w:rPr>
        <w:t>龙舟赛事</w:t>
      </w:r>
      <w:r>
        <w:rPr>
          <w:rStyle w:val="11"/>
          <w:rFonts w:hint="eastAsia"/>
          <w:b/>
          <w:sz w:val="72"/>
          <w:szCs w:val="72"/>
          <w:lang w:val="en-US" w:eastAsia="zh-CN"/>
        </w:rPr>
        <w:t>活动</w:t>
      </w:r>
      <w:r>
        <w:rPr>
          <w:rStyle w:val="11"/>
          <w:b/>
          <w:sz w:val="72"/>
          <w:szCs w:val="72"/>
        </w:rPr>
        <w:t>办赛指南</w:t>
      </w:r>
    </w:p>
    <w:p w14:paraId="090A6B6F">
      <w:pPr>
        <w:pStyle w:val="8"/>
        <w:keepNext w:val="0"/>
        <w:keepLines w:val="0"/>
        <w:widowControl/>
        <w:suppressLineNumbers w:val="0"/>
        <w:jc w:val="center"/>
        <w:rPr>
          <w:rFonts w:hint="default" w:ascii="Times New Roman" w:hAnsi="Times New Roman" w:cs="Times New Roman"/>
          <w:sz w:val="36"/>
          <w:szCs w:val="36"/>
        </w:rPr>
      </w:pPr>
      <w:r>
        <w:rPr>
          <w:rStyle w:val="11"/>
          <w:rFonts w:hint="default" w:ascii="Times New Roman" w:hAnsi="Times New Roman" w:cs="Times New Roman"/>
          <w:sz w:val="36"/>
          <w:szCs w:val="36"/>
        </w:rPr>
        <w:t>Guide for Organizing Dragon Boat Events</w:t>
      </w:r>
    </w:p>
    <w:p w14:paraId="0F5DEB0C">
      <w:pPr>
        <w:pStyle w:val="4"/>
        <w:keepNext w:val="0"/>
        <w:keepLines w:val="0"/>
        <w:widowControl/>
        <w:suppressLineNumbers w:val="0"/>
        <w:jc w:val="center"/>
        <w:rPr>
          <w:rFonts w:hint="eastAsia" w:ascii="黑体" w:hAnsi="黑体" w:eastAsia="黑体" w:cs="黑体"/>
          <w:sz w:val="36"/>
          <w:szCs w:val="36"/>
        </w:rPr>
      </w:pPr>
    </w:p>
    <w:p w14:paraId="07B9C214">
      <w:pPr>
        <w:pStyle w:val="4"/>
        <w:keepNext w:val="0"/>
        <w:keepLines w:val="0"/>
        <w:widowControl/>
        <w:suppressLineNumbers w:val="0"/>
        <w:jc w:val="center"/>
        <w:rPr>
          <w:rFonts w:hint="eastAsia" w:ascii="黑体" w:hAnsi="黑体" w:eastAsia="黑体" w:cs="黑体"/>
          <w:sz w:val="36"/>
          <w:szCs w:val="36"/>
        </w:rPr>
      </w:pPr>
    </w:p>
    <w:p w14:paraId="47BA0376">
      <w:pPr>
        <w:rPr>
          <w:rFonts w:hint="eastAsia" w:ascii="黑体" w:hAnsi="黑体" w:eastAsia="黑体" w:cs="黑体"/>
          <w:sz w:val="36"/>
          <w:szCs w:val="36"/>
        </w:rPr>
      </w:pPr>
    </w:p>
    <w:p w14:paraId="0DB3B810">
      <w:pPr>
        <w:rPr>
          <w:rFonts w:hint="eastAsia" w:ascii="黑体" w:hAnsi="黑体" w:eastAsia="黑体" w:cs="黑体"/>
          <w:sz w:val="36"/>
          <w:szCs w:val="36"/>
        </w:rPr>
      </w:pPr>
    </w:p>
    <w:p w14:paraId="3C357566">
      <w:pPr>
        <w:rPr>
          <w:rFonts w:hint="eastAsia" w:ascii="黑体" w:hAnsi="黑体" w:eastAsia="黑体" w:cs="黑体"/>
          <w:sz w:val="36"/>
          <w:szCs w:val="36"/>
        </w:rPr>
      </w:pPr>
    </w:p>
    <w:p w14:paraId="22D9729D">
      <w:pPr>
        <w:rPr>
          <w:rFonts w:hint="eastAsia"/>
        </w:rPr>
      </w:pPr>
    </w:p>
    <w:p w14:paraId="08004980">
      <w:pPr>
        <w:rPr>
          <w:rFonts w:hint="eastAsia"/>
        </w:rPr>
      </w:pPr>
    </w:p>
    <w:p w14:paraId="0CE98EBE">
      <w:pPr>
        <w:rPr>
          <w:rFonts w:hint="eastAsia"/>
        </w:rPr>
      </w:pPr>
    </w:p>
    <w:p w14:paraId="3687AA21">
      <w:pPr>
        <w:rPr>
          <w:rFonts w:hint="eastAsia"/>
        </w:rPr>
      </w:pPr>
    </w:p>
    <w:p w14:paraId="538DC891">
      <w:pPr>
        <w:keepNext w:val="0"/>
        <w:keepLines w:val="0"/>
        <w:widowControl/>
        <w:suppressLineNumbers w:val="0"/>
      </w:pPr>
    </w:p>
    <w:p w14:paraId="49C76938">
      <w:pPr>
        <w:pStyle w:val="3"/>
        <w:keepNext w:val="0"/>
        <w:keepLines w:val="0"/>
        <w:widowControl/>
        <w:suppressLineNumbers w:val="0"/>
        <w:jc w:val="center"/>
        <w:rPr>
          <w:rStyle w:val="11"/>
          <w:rFonts w:hint="eastAsia" w:ascii="仿宋" w:hAnsi="仿宋" w:eastAsia="仿宋" w:cs="仿宋"/>
          <w:b/>
          <w:sz w:val="52"/>
          <w:szCs w:val="52"/>
        </w:rPr>
      </w:pPr>
    </w:p>
    <w:p w14:paraId="0C40D8A4">
      <w:pPr>
        <w:pStyle w:val="3"/>
        <w:keepNext w:val="0"/>
        <w:keepLines w:val="0"/>
        <w:widowControl/>
        <w:suppressLineNumbers w:val="0"/>
        <w:jc w:val="center"/>
        <w:rPr>
          <w:rStyle w:val="11"/>
          <w:rFonts w:hint="eastAsia" w:ascii="仿宋" w:hAnsi="仿宋" w:eastAsia="仿宋" w:cs="仿宋"/>
          <w:b/>
          <w:sz w:val="52"/>
          <w:szCs w:val="52"/>
        </w:rPr>
      </w:pPr>
    </w:p>
    <w:p w14:paraId="2DFFFE70">
      <w:pPr>
        <w:pStyle w:val="3"/>
        <w:keepNext w:val="0"/>
        <w:keepLines w:val="0"/>
        <w:widowControl/>
        <w:suppressLineNumbers w:val="0"/>
        <w:jc w:val="center"/>
        <w:rPr>
          <w:rStyle w:val="11"/>
          <w:rFonts w:hint="eastAsia" w:ascii="仿宋" w:hAnsi="仿宋" w:eastAsia="仿宋" w:cs="仿宋"/>
          <w:b/>
          <w:sz w:val="52"/>
          <w:szCs w:val="52"/>
        </w:rPr>
      </w:pPr>
      <w:r>
        <w:rPr>
          <w:rStyle w:val="11"/>
          <w:rFonts w:hint="eastAsia" w:ascii="仿宋" w:hAnsi="仿宋" w:eastAsia="仿宋" w:cs="仿宋"/>
          <w:b/>
          <w:sz w:val="52"/>
          <w:szCs w:val="52"/>
        </w:rPr>
        <w:t>目 次</w:t>
      </w:r>
    </w:p>
    <w:p w14:paraId="554333C7">
      <w:pPr>
        <w:rPr>
          <w:rFonts w:hint="eastAsia"/>
        </w:rPr>
      </w:pPr>
    </w:p>
    <w:p w14:paraId="3389E7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120" w:lineRule="auto"/>
        <w:textAlignment w:val="auto"/>
        <w:rPr>
          <w:rStyle w:val="11"/>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rPr>
        <w:t>前言</w:t>
      </w:r>
    </w:p>
    <w:p w14:paraId="7AEC688C">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 范围................................................1</w:t>
      </w:r>
    </w:p>
    <w:p w14:paraId="59F431BE">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 规范性引用文件......................................1</w:t>
      </w:r>
    </w:p>
    <w:p w14:paraId="44351CDE">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 术语和定义..........................................1</w:t>
      </w:r>
    </w:p>
    <w:p w14:paraId="4C067250">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 总则................................................2</w:t>
      </w:r>
    </w:p>
    <w:p w14:paraId="7787E417">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 赛事分类............................................2</w:t>
      </w:r>
    </w:p>
    <w:p w14:paraId="37375BF4">
      <w:pPr>
        <w:shd w:val="clear" w:color="auto" w:fill="FFFFFF"/>
        <w:adjustRightInd/>
        <w:snapToGrid/>
        <w:spacing w:after="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6 赛事申办............................................3</w:t>
      </w:r>
    </w:p>
    <w:p w14:paraId="41D4E73A">
      <w:pPr>
        <w:shd w:val="clear" w:color="auto" w:fill="FFFFFF"/>
        <w:adjustRightInd/>
        <w:snapToGrid/>
        <w:spacing w:after="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7 赛事名称 ...........................................4</w:t>
      </w:r>
    </w:p>
    <w:p w14:paraId="3B958802">
      <w:pPr>
        <w:shd w:val="clear" w:color="auto" w:fill="FFFFFF"/>
        <w:adjustRightInd/>
        <w:snapToGrid/>
        <w:spacing w:after="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8 赛事组织 ...........................................5</w:t>
      </w:r>
    </w:p>
    <w:p w14:paraId="6FB9F57A">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9 </w:t>
      </w:r>
      <w:r>
        <w:rPr>
          <w:rFonts w:hint="eastAsia" w:ascii="仿宋_GB2312" w:hAnsi="微软雅黑" w:eastAsia="仿宋_GB2312" w:cs="宋体"/>
          <w:b/>
          <w:bCs/>
          <w:color w:val="auto"/>
          <w:sz w:val="28"/>
          <w:szCs w:val="28"/>
          <w:lang w:val="en-US" w:eastAsia="zh-CN"/>
        </w:rPr>
        <w:t>机构职责</w:t>
      </w:r>
      <w:r>
        <w:rPr>
          <w:rFonts w:hint="eastAsia" w:ascii="仿宋_GB2312" w:hAnsi="微软雅黑" w:eastAsia="仿宋_GB2312" w:cs="宋体"/>
          <w:b/>
          <w:bCs/>
          <w:color w:val="FF0000"/>
          <w:sz w:val="28"/>
          <w:szCs w:val="28"/>
          <w:lang w:val="en-US" w:eastAsia="zh-CN"/>
        </w:rPr>
        <w:t xml:space="preserve">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........................................6</w:t>
      </w:r>
    </w:p>
    <w:p w14:paraId="0DBC24F6">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10 安全与应急管理.....................................11</w:t>
      </w:r>
    </w:p>
    <w:p w14:paraId="7C257487">
      <w:pPr>
        <w:shd w:val="clear" w:color="auto" w:fill="FFFFFF"/>
        <w:adjustRightInd/>
        <w:snapToGrid/>
        <w:spacing w:after="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11 赛事熔</w:t>
      </w:r>
      <w:r>
        <w:rPr>
          <w:rFonts w:hint="eastAsia" w:ascii="仿宋_GB2312" w:hAnsi="微软雅黑" w:eastAsia="仿宋_GB2312" w:cs="宋体"/>
          <w:b/>
          <w:bCs/>
          <w:color w:val="auto"/>
          <w:sz w:val="28"/>
          <w:szCs w:val="28"/>
          <w:lang w:val="en-US" w:eastAsia="zh-CN"/>
        </w:rPr>
        <w:t>断机制.......................................13</w:t>
      </w:r>
    </w:p>
    <w:p w14:paraId="0241DC5E">
      <w:pPr>
        <w:shd w:val="clear" w:color="auto" w:fill="FFFFFF"/>
        <w:adjustRightInd/>
        <w:snapToGrid/>
        <w:spacing w:after="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12 新闻宣传与舆情管理.................................14</w:t>
      </w:r>
    </w:p>
    <w:p w14:paraId="0F17AEF1">
      <w:pPr>
        <w:shd w:val="clear" w:color="auto" w:fill="FFFFFF"/>
        <w:adjustRightInd/>
        <w:snapToGrid/>
        <w:spacing w:after="0"/>
        <w:rPr>
          <w:rFonts w:hint="eastAsia"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13 赛事场地、器材与设施...............................18</w:t>
      </w:r>
    </w:p>
    <w:p w14:paraId="222C137C">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14 体育展示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.......................................18</w:t>
      </w:r>
    </w:p>
    <w:p w14:paraId="39E90CA7">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15 </w:t>
      </w:r>
      <w:r>
        <w:rPr>
          <w:rFonts w:hint="eastAsia" w:ascii="仿宋_GB2312" w:hAnsi="微软雅黑" w:eastAsia="仿宋_GB2312" w:cs="宋体"/>
          <w:b/>
          <w:bCs/>
          <w:color w:val="auto"/>
          <w:sz w:val="28"/>
          <w:szCs w:val="28"/>
          <w:lang w:val="en-US" w:eastAsia="zh-CN"/>
        </w:rPr>
        <w:t>开幕式与颁奖仪式...................................20</w:t>
      </w:r>
    </w:p>
    <w:p w14:paraId="31FB48E2">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16 参与者服务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.......................................21</w:t>
      </w:r>
    </w:p>
    <w:p w14:paraId="0AD482AA">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17 礼宾服务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.......................................25</w:t>
      </w:r>
    </w:p>
    <w:p w14:paraId="1664E7AA">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18 证件管理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.......................................30</w:t>
      </w:r>
    </w:p>
    <w:p w14:paraId="39CAC5B7">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19 餐饮服务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.......................................33</w:t>
      </w:r>
    </w:p>
    <w:p w14:paraId="59C96DD2">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20 住宿服务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.......................................35</w:t>
      </w:r>
    </w:p>
    <w:p w14:paraId="28EDBDCD">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21 交通服务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.......................................38</w:t>
      </w:r>
    </w:p>
    <w:p w14:paraId="0BFF8A3C">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22 医疗卫生服务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...................................40</w:t>
      </w:r>
    </w:p>
    <w:p w14:paraId="6BCA04D5">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23 安保服务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.......................................44</w:t>
      </w:r>
    </w:p>
    <w:p w14:paraId="78AD2CE8">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24 人力资源和志愿者服务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...........................50</w:t>
      </w:r>
    </w:p>
    <w:p w14:paraId="75D3E055">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 xml:space="preserve">25 赞助商服务 </w:t>
      </w:r>
      <w:r>
        <w:rPr>
          <w:rFonts w:hint="eastAsia" w:ascii="仿宋_GB2312" w:hAnsi="微软雅黑" w:eastAsia="仿宋_GB2312" w:cs="宋体"/>
          <w:b/>
          <w:bCs/>
          <w:color w:val="auto"/>
          <w:sz w:val="28"/>
          <w:szCs w:val="28"/>
          <w:lang w:val="en-US" w:eastAsia="zh-CN"/>
        </w:rPr>
        <w:t>...</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.....................................52</w:t>
      </w:r>
    </w:p>
    <w:p w14:paraId="38EE1F4E">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26  附则 .............................................54</w:t>
      </w:r>
    </w:p>
    <w:p w14:paraId="6E91FF6C">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参考文献   ...........................................54</w:t>
      </w:r>
    </w:p>
    <w:p w14:paraId="4ED51EB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4852F254">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0918E0E1">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346921AB">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7CD7DBF4">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608D35A3">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171FF1C9">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176C6D5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297C94B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1D6A2B7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7D7D0E43">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25ACF968">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461CEDFE">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0756E908">
      <w:pPr>
        <w:pStyle w:val="3"/>
        <w:keepNext w:val="0"/>
        <w:keepLines w:val="0"/>
        <w:widowControl/>
        <w:suppressLineNumbers w:val="0"/>
        <w:jc w:val="center"/>
        <w:rPr>
          <w:rFonts w:hint="eastAsia" w:ascii="仿宋_GB2312" w:hAnsi="微软雅黑" w:eastAsia="仿宋_GB2312" w:cs="宋体"/>
          <w:b w:val="0"/>
          <w:bCs w:val="0"/>
          <w:color w:val="000000" w:themeColor="text1"/>
          <w:kern w:val="2"/>
          <w:sz w:val="44"/>
          <w:szCs w:val="44"/>
          <w:lang w:val="en-US" w:eastAsia="zh-CN" w:bidi="ar-SA"/>
          <w14:textFill>
            <w14:solidFill>
              <w14:schemeClr w14:val="tx1"/>
            </w14:solidFill>
          </w14:textFill>
        </w:rPr>
      </w:pPr>
      <w:r>
        <w:rPr>
          <w:rFonts w:hint="eastAsia" w:ascii="仿宋_GB2312" w:hAnsi="微软雅黑" w:eastAsia="仿宋_GB2312" w:cs="宋体"/>
          <w:b/>
          <w:bCs/>
          <w:color w:val="000000" w:themeColor="text1"/>
          <w:kern w:val="2"/>
          <w:sz w:val="28"/>
          <w:szCs w:val="28"/>
          <w:lang w:val="en-US" w:eastAsia="zh-CN" w:bidi="ar-SA"/>
          <w14:textFill>
            <w14:solidFill>
              <w14:schemeClr w14:val="tx1"/>
            </w14:solidFill>
          </w14:textFill>
        </w:rPr>
        <w:t>前 言</w:t>
      </w:r>
    </w:p>
    <w:p w14:paraId="552D9369">
      <w:pPr>
        <w:pStyle w:val="8"/>
        <w:keepNext w:val="0"/>
        <w:keepLines w:val="0"/>
        <w:widowControl/>
        <w:suppressLineNumbers w:val="0"/>
        <w:ind w:firstLine="560" w:firstLineChars="200"/>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本文件依据TY/T 1103-2023《群众体育赛事活动办赛指南—编制内容与评估指引》的规定并结合龙舟赛事实际需求起草，旨在规范龙舟赛事活动的组织与管理。</w:t>
      </w:r>
    </w:p>
    <w:p w14:paraId="13F5CE9B">
      <w:pPr>
        <w:pStyle w:val="8"/>
        <w:keepNext w:val="0"/>
        <w:keepLines w:val="0"/>
        <w:widowControl/>
        <w:suppressLineNumbers w:val="0"/>
        <w:ind w:firstLine="560" w:firstLineChars="200"/>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请注意，本文件的某些内容可能涉及专利。本文件的发布机构不承担识别专利的责任。</w:t>
      </w:r>
    </w:p>
    <w:p w14:paraId="11DD39CD">
      <w:pPr>
        <w:pStyle w:val="8"/>
        <w:keepNext w:val="0"/>
        <w:keepLines w:val="0"/>
        <w:widowControl/>
        <w:suppressLineNumbers w:val="0"/>
        <w:ind w:firstLine="560" w:firstLineChars="200"/>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本文件由国家体育总局社会体育指导中心提出并归口。</w:t>
      </w:r>
    </w:p>
    <w:p w14:paraId="04852372">
      <w:pPr>
        <w:pStyle w:val="8"/>
        <w:keepNext w:val="0"/>
        <w:keepLines w:val="0"/>
        <w:widowControl/>
        <w:suppressLineNumbers w:val="0"/>
        <w:ind w:firstLine="560" w:firstLineChars="200"/>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本文件起草单位：国家体育总局社会体育指导中心、中国龙舟协会、中国龙舟协会竞赛与裁判委员会。</w:t>
      </w:r>
    </w:p>
    <w:p w14:paraId="2574AEF9">
      <w:pPr>
        <w:pStyle w:val="8"/>
        <w:keepNext w:val="0"/>
        <w:keepLines w:val="0"/>
        <w:widowControl/>
        <w:suppressLineNumbers w:val="0"/>
        <w:ind w:firstLine="560" w:firstLineChars="200"/>
        <w:rPr>
          <w:rStyle w:val="11"/>
          <w:rFonts w:hint="eastAsia" w:ascii="仿宋" w:hAnsi="仿宋" w:eastAsia="仿宋" w:cs="仿宋"/>
          <w:b/>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本文件主要起草人：何懿、魏伟、杨辉、吕文婷。</w:t>
      </w:r>
    </w:p>
    <w:p w14:paraId="1862E475">
      <w:pPr>
        <w:pStyle w:val="2"/>
        <w:keepNext w:val="0"/>
        <w:keepLines w:val="0"/>
        <w:widowControl/>
        <w:suppressLineNumbers w:val="0"/>
        <w:jc w:val="center"/>
        <w:rPr>
          <w:rFonts w:hint="eastAsia" w:ascii="仿宋" w:hAnsi="仿宋" w:eastAsia="仿宋" w:cs="仿宋"/>
          <w:sz w:val="44"/>
          <w:szCs w:val="44"/>
        </w:rPr>
      </w:pPr>
      <w:r>
        <w:rPr>
          <w:rStyle w:val="11"/>
          <w:rFonts w:hint="eastAsia" w:ascii="仿宋" w:hAnsi="仿宋" w:eastAsia="仿宋" w:cs="仿宋"/>
          <w:b/>
          <w:sz w:val="44"/>
          <w:szCs w:val="44"/>
        </w:rPr>
        <w:t>龙舟赛事</w:t>
      </w:r>
      <w:r>
        <w:rPr>
          <w:rStyle w:val="11"/>
          <w:rFonts w:hint="eastAsia" w:ascii="仿宋" w:hAnsi="仿宋" w:eastAsia="仿宋" w:cs="仿宋"/>
          <w:b/>
          <w:sz w:val="44"/>
          <w:szCs w:val="44"/>
          <w:lang w:val="en-US" w:eastAsia="zh-CN"/>
        </w:rPr>
        <w:t>活动</w:t>
      </w:r>
      <w:bookmarkStart w:id="0" w:name="_GoBack"/>
      <w:bookmarkEnd w:id="0"/>
      <w:r>
        <w:rPr>
          <w:rStyle w:val="11"/>
          <w:rFonts w:hint="eastAsia" w:ascii="仿宋" w:hAnsi="仿宋" w:eastAsia="仿宋" w:cs="仿宋"/>
          <w:b/>
          <w:sz w:val="44"/>
          <w:szCs w:val="44"/>
        </w:rPr>
        <w:t>办赛指南</w:t>
      </w:r>
    </w:p>
    <w:p w14:paraId="043710F8">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 范围</w:t>
      </w:r>
    </w:p>
    <w:p w14:paraId="68E472C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本文件规定了龙舟赛事活动的组织方式、申办程序、安全保障、参赛要求和赛事运营服务规范，适用于全国范围内的各级龙舟赛事活动，包括国际赛事、全国赛事、地方性赛事以及传统龙舟活动。</w:t>
      </w:r>
    </w:p>
    <w:p w14:paraId="089A2995">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52DC3D88">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 规范性引用文件</w:t>
      </w:r>
    </w:p>
    <w:p w14:paraId="584BC4C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下列文件中的内容通过文中的规范性引用构成本文件必不可少的条款。其中，注日期的引用文件，仅该日期对应的版本适用于本文件；不注日期的引用文件，其最新版本（包括所有的修改单）适用于本文件。</w:t>
      </w:r>
    </w:p>
    <w:p w14:paraId="51DB32D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GB/T 22185 体育场馆公共安全通用要求</w:t>
      </w:r>
    </w:p>
    <w:p w14:paraId="08FEAD4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GB/T 33170.3 大型活动安全要求 第3部分：场地布局和安全导向标识。</w:t>
      </w:r>
    </w:p>
    <w:p w14:paraId="047F99E4">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0C21C42C">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 术语和定义</w:t>
      </w:r>
    </w:p>
    <w:p w14:paraId="29E6924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3.1 体育赛事活动（sports events）</w:t>
      </w:r>
    </w:p>
    <w:p w14:paraId="21FD2B5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以体育运动项目为内容，以开展竞技能力较量或丰富体育文化生活为目的，依法组织和举办的群众竞技比赛或运动健身活动。</w:t>
      </w:r>
    </w:p>
    <w:p w14:paraId="0CE6C1C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3.2 龙舟赛事办赛指南（guide for organizing dragon boat events）</w:t>
      </w:r>
    </w:p>
    <w:p w14:paraId="60DD4CF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结合各级各类龙舟赛事活动特点，为举办龙舟赛事活动提供指导的文件。</w:t>
      </w:r>
    </w:p>
    <w:p w14:paraId="0EB9EBCE">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63295A8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4总则</w:t>
      </w:r>
    </w:p>
    <w:p w14:paraId="5E42B0A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4.1 编制目地</w:t>
      </w:r>
    </w:p>
    <w:p w14:paraId="4666BFA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为贯彻中央简政放权、放管结合、优化服务的总体部署，贯彻落实《体育赛事活动管理办法》（国家体育总局令2023年31号）、《关于进一步加强体育赛事活动监督管理的意见&gt;的通知》（体规字﹝2021﹞3号），规范全国各类龙舟赛事活动的组织管理，提升龙舟赛事活动办赛服务水平，促进龙舟运动健康发展，制定本指南。</w:t>
      </w:r>
    </w:p>
    <w:p w14:paraId="17EF2D5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4.2 适用范围</w:t>
      </w:r>
    </w:p>
    <w:p w14:paraId="6ED233F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本指南所指的龙舟赛事活动（以下简称龙舟赛事），是指在中国境内（不含香港特别行政区、澳门特别行政区、台湾省）举办的各类龙舟赛事及相关活动（含中华龙舟大赛、中国龙舟公开赛、中国龙舟大奖赛、综合性运动会龙舟赛、全国龙舟锦标赛、全国青少年龙舟锦标赛、5人龙舟赛、邀请赛、拉力赛、龙舟往返赛、拔河赛、传统龙舟赛、冰上赛及各级地方性龙舟赛等）。</w:t>
      </w:r>
    </w:p>
    <w:p w14:paraId="70EE678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4.3 责任分工</w:t>
      </w:r>
    </w:p>
    <w:p w14:paraId="1120789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按照2021年《关于进一步加强体育赛事活动安全监管服务的意见》中提出的“谁主办、谁负责”、“谁审批、谁负责”、“谁主管、谁负责”的原则，龙舟赛事主办、承办单位对龙舟赛事负有主体责任，国家体育总局、中国龙舟协会、各省市龙舟主管部门和各级龙舟协会在各自职责范围内对龙舟赛事负有监管责任，各级体育主管部门对所辖区域内龙舟赛事活动负有领导责任。</w:t>
      </w:r>
    </w:p>
    <w:p w14:paraId="7E454C0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4.4 监管与支持</w:t>
      </w:r>
    </w:p>
    <w:p w14:paraId="25BE845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龙舟赛事主办、承办单位应主动联系本区域内龙舟主管部门和龙舟协会，寻求业务指导、技术支持与服务，主动接受监管。</w:t>
      </w:r>
    </w:p>
    <w:p w14:paraId="6376D661">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638AB6C3">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 赛事分类</w:t>
      </w:r>
    </w:p>
    <w:p w14:paraId="1FD667D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5.1在我国举办的国际性龙舟赛事</w:t>
      </w:r>
    </w:p>
    <w:p w14:paraId="7F59BEE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A类赛事：由国际体育组织主办的综合性或单项龙舟赛事；由国家体育总局主办或参与主办的重要国际龙舟赛事；由国家体育总局或中国龙舟协会主办的跨省（区、市）的国际龙舟赛事。</w:t>
      </w:r>
    </w:p>
    <w:p w14:paraId="30FE698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B类赛事：由国家体育总局或中国龙舟协会主导，与地方共同主办或交由地方承办的国际龙舟赛事。</w:t>
      </w:r>
    </w:p>
    <w:p w14:paraId="2B24565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C类赛事：地方自行举办的国际龙舟赛事；由地方主导，国家体育总局或中国龙舟协会参与主办、协办的国际龙舟赛事。</w:t>
      </w:r>
    </w:p>
    <w:p w14:paraId="2C0FF9D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5.2全国性龙舟赛事</w:t>
      </w:r>
    </w:p>
    <w:p w14:paraId="7BF1024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国家体育总局或中国龙舟协会主办的龙舟赛事；</w:t>
      </w:r>
    </w:p>
    <w:p w14:paraId="67F12EB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全国性行业体育协会主办的相关龙舟赛事。</w:t>
      </w:r>
    </w:p>
    <w:p w14:paraId="10240DE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5.3地方性龙舟赛事</w:t>
      </w:r>
    </w:p>
    <w:p w14:paraId="2A9A02E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地方政府体育主管部门或地方龙舟协会主办的龙舟赛事。</w:t>
      </w:r>
    </w:p>
    <w:p w14:paraId="5E08B34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3B6699A3">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6赛事申办</w:t>
      </w:r>
    </w:p>
    <w:p w14:paraId="2EC4709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6.1在我国举办的国际性龙舟赛事申办</w:t>
      </w:r>
    </w:p>
    <w:p w14:paraId="3091FEE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在我国申办国际龙舟赛事活动，应当按照程序报批，未经批准，不得申办。</w:t>
      </w:r>
    </w:p>
    <w:p w14:paraId="1C12EBD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以下国际龙舟赛事活动需列入体育总局年度外事活动计划，并按照有关规定和审批权限报体育总局或国务院审批：</w:t>
      </w:r>
    </w:p>
    <w:p w14:paraId="10B804E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Ａ类赛事：体育总局主办或共同主办的重要国际龙舟赛事活动，国际体育组织（国际龙舟联合会（IDBF）、亚洲龙舟联合会（ADBF）等）主办的世界锦标赛、世界杯赛、亚洲锦标赛、亚洲杯赛，涉及亚运会资格的赛事，体育总局社会体育指导中心或中国龙舟协会主办的跨省（区、市）国际龙舟赛事活动，涉及海域、空域及地面敏感区域等特殊领域的国际龙舟赛事活动。</w:t>
      </w:r>
    </w:p>
    <w:p w14:paraId="249729E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B类赛事：地方自行主办，或与体育总局社会体育指导中心或中国龙舟协会共同主办但由地方主导的国际龙舟赛事活动，由有外事审批权的地方人民政府或其有关部门审批，不列入体育总局外事活动计划，但应统一向体育总局备案。</w:t>
      </w:r>
    </w:p>
    <w:p w14:paraId="774888D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Ｃ类赛事：其他商业性、群众性国际龙舟赛事活动，应当按照属地管理原则，根据地方有关规定办理相关手续。地方体育行政部门提供业务指导和技术支持。</w:t>
      </w:r>
    </w:p>
    <w:p w14:paraId="3A71404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6.2全国性和地方性龙舟赛事申办</w:t>
      </w:r>
    </w:p>
    <w:p w14:paraId="25BCB92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全国性和地方性龙舟赛事：由主办单位自行确定承办单位和举办地点。</w:t>
      </w:r>
    </w:p>
    <w:p w14:paraId="54186F6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群众性、商业性龙舟赛事无需审批，合法的法律主体均可依法组织和举办，自行确定或协商确定举办地点。</w:t>
      </w:r>
    </w:p>
    <w:p w14:paraId="71548BB3">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173EFACB">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7赛事名称</w:t>
      </w:r>
    </w:p>
    <w:p w14:paraId="6627FDF5">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7.1龙舟赛事的名称应当与实际内容一致。</w:t>
      </w:r>
    </w:p>
    <w:p w14:paraId="13A11E2A">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7.2龙舟赛事的名称应与主办方开展赛事活动的行业领域和人群范围相一致。</w:t>
      </w:r>
    </w:p>
    <w:p w14:paraId="2B47FF9C">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7.3不得侵犯其他自然人、法人或非法人组织的合法权益；不得含有欺骗或可能造成公众误解的文字；不得使用具有宗教含义的文字；按照国家法律法规、政策要求使用“一带一路”、“金砖国家”、“上合组织”等含有政治、外交属性的文字。</w:t>
      </w:r>
    </w:p>
    <w:p w14:paraId="27469365">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7.4 体育总局社体中心或中国龙舟协会主办或作为主办单位之一的龙舟赛事，其名称可以使用“中国”、“全国”、“国家”、“中华”字样或具有类似含义的词汇。未经体育总局社体中心或中国龙舟协会确认，其他龙舟赛事不得冠以“中国”、“全国”、“国家”、“中华”字样或具有类似含义的词汇。</w:t>
      </w:r>
    </w:p>
    <w:p w14:paraId="5991590A">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7.5未经国际龙舟联合会（IDBF）、亚洲龙舟联合会（ADBF）等合法国际龙舟组织确认，龙舟赛事名称不得冠以“世界”、“国际”、“洲际”、“全球”、“亚洲”字样或具有类似含义的词汇。</w:t>
      </w:r>
    </w:p>
    <w:p w14:paraId="1372A733">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3A899359">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8赛事组织</w:t>
      </w:r>
    </w:p>
    <w:p w14:paraId="472290D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8.1组织委员会</w:t>
      </w:r>
    </w:p>
    <w:p w14:paraId="141C811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龙舟赛事应设立赛事组织委员会（以下简称组委会）。组委会一般由赛事主办和承办单位的领导与相关人员共同组成，统一领导和落实赛事的各项筹备工作。</w:t>
      </w:r>
    </w:p>
    <w:p w14:paraId="2490630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组委会下设办公室、竞赛处、场地器材处、后勤接待处、新闻宣传处、安全保卫处、医疗卫生处等若干工作机构。</w:t>
      </w:r>
    </w:p>
    <w:p w14:paraId="52332AE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8.2工作机构</w:t>
      </w:r>
    </w:p>
    <w:p w14:paraId="1001BE5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工作机构在组委会的直接领导和管理下履行各自工作职责，涵盖的工作有综合事务、竞赛、场地器材、信息技术、媒体运行、单项协会服务、运动员服务、技术官员服务、计时计分与成绩处理、体育展示、颁奖仪式、交通服务、医疗服务、观众服务、安全保卫、兴奋剂检查、财务审计、志愿者工作等。</w:t>
      </w:r>
    </w:p>
    <w:p w14:paraId="2DEF714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工作机构的设定，可视赛事的规格和规模而定。规格高、规模大的赛事一般要多设一些工作机构，规模较小的赛事可合并一些工作内容和工作机构，但各项工作内容要在工作机构中体现出来。</w:t>
      </w:r>
    </w:p>
    <w:p w14:paraId="3CB748E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55D8DB86">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 机构职责</w:t>
      </w:r>
    </w:p>
    <w:p w14:paraId="7B6A88C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9.1办公室</w:t>
      </w:r>
    </w:p>
    <w:p w14:paraId="410D559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制定组委会工作方案、制度、计划、经费预算等；</w:t>
      </w:r>
    </w:p>
    <w:p w14:paraId="379956E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安排、协调、汇总、督办各处室阶段工作；</w:t>
      </w:r>
    </w:p>
    <w:p w14:paraId="10A7959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组织和落实各项会议；</w:t>
      </w:r>
    </w:p>
    <w:p w14:paraId="08237CA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负责组委会的文档工作；</w:t>
      </w:r>
    </w:p>
    <w:p w14:paraId="5471091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拟定组委会内部机构设置、工作职责和人员调配方案；</w:t>
      </w:r>
    </w:p>
    <w:p w14:paraId="0F76F16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负责落实人事管理工作的规章制度；</w:t>
      </w:r>
    </w:p>
    <w:p w14:paraId="6117D6C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负责人员注册和证件管理工作；</w:t>
      </w:r>
    </w:p>
    <w:p w14:paraId="6A9792B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负责准备竞赛器材，配置各处室的办公物资，并按时到位；</w:t>
      </w:r>
    </w:p>
    <w:p w14:paraId="53E565E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负责票务、信息咨询、失物招领、展示表演、观众组织等工作；</w:t>
      </w:r>
    </w:p>
    <w:p w14:paraId="22842C5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根据竞赛日程和组委会要求，负责邀请颁奖嘉宾；</w:t>
      </w:r>
    </w:p>
    <w:p w14:paraId="43A4AC2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制订市场开发计划，在允许的范围内进行市场开发，为赞助商做好权益兑现和服务接待等工作；</w:t>
      </w:r>
    </w:p>
    <w:p w14:paraId="1F6D9C7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督查预算执行情况，严格执行财务管理制度和开支标准有关规定，负责日常经费的使用管理；</w:t>
      </w:r>
    </w:p>
    <w:p w14:paraId="4B17D5C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负责志愿者的岗位设置，编制志愿者服务方案，招募志愿者并对志愿者进行通用岗位和专业岗位的培训；</w:t>
      </w:r>
    </w:p>
    <w:p w14:paraId="6C70D94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分析可能发生的各种突发事件，制定应急预案，并做好培训、演练与应急处置工作；</w:t>
      </w:r>
    </w:p>
    <w:p w14:paraId="404C7C8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完成组委会交办的其他工作。</w:t>
      </w:r>
    </w:p>
    <w:p w14:paraId="5151BA6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9.2竞赛处</w:t>
      </w:r>
    </w:p>
    <w:p w14:paraId="476800B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全面负责竞赛的筹备和组织实施工作；组织比赛，及时处理紧急事件，并上报组委会；协调相关处室进行赛风赛纪的监察工作；</w:t>
      </w:r>
    </w:p>
    <w:p w14:paraId="7BEF5DE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编排竞赛日程、活动日程及训练日程，编制秩序册和成绩册，印发成绩公告；</w:t>
      </w:r>
    </w:p>
    <w:p w14:paraId="28F1DAA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规划竞赛分区（FOP），设计FOP布局、比赛流线图以及人员流线图；</w:t>
      </w:r>
    </w:p>
    <w:p w14:paraId="615D346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编制竞赛器材和物资计划，指导比赛场地布置，维护和管理器材设施，确保比赛正常运行；</w:t>
      </w:r>
    </w:p>
    <w:p w14:paraId="4FB0D63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负责各比赛运行区域以及附赛道、警戒水域的管理；</w:t>
      </w:r>
    </w:p>
    <w:p w14:paraId="4E170B0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负责选调裁判员，制定裁判员、辅助裁判员及志愿者的岗位设置与分工，组织上述人员进行业务培训学习；</w:t>
      </w:r>
    </w:p>
    <w:p w14:paraId="650E8F2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负责协调配合电子计时系统调试与信号接收；</w:t>
      </w:r>
    </w:p>
    <w:p w14:paraId="7A96272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收集体育展示音频、视频和文字素材，制定体育展示工作方案和现场宣告执行脚本；</w:t>
      </w:r>
    </w:p>
    <w:p w14:paraId="6D67E8A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制定颁奖仪式工作方案，组织实施颁奖工作；</w:t>
      </w:r>
    </w:p>
    <w:p w14:paraId="4655AD4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负责组织“体育道德风尚奖”运动队、运动员、裁判员的评选活动；</w:t>
      </w:r>
    </w:p>
    <w:p w14:paraId="5FE56FC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按照国家体育总局反兴奋剂中心的要求配备相应的物资，选派专人协助做好反兴奋检查工作；</w:t>
      </w:r>
    </w:p>
    <w:p w14:paraId="7FFF2B1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分析比赛时可能发生的各种突发事件，制定应急预案，并做好培训、演练与应急处置工作；</w:t>
      </w:r>
    </w:p>
    <w:p w14:paraId="7B24275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微软雅黑" w:hAnsi="微软雅黑" w:cs="宋体"/>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完成组委会交办的其他工作。</w:t>
      </w:r>
    </w:p>
    <w:p w14:paraId="3505C0F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9.3场地器材处</w:t>
      </w:r>
    </w:p>
    <w:p w14:paraId="38C8C2E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协助主办单位对比赛水域和竞赛场地进行综合检查验收；</w:t>
      </w:r>
    </w:p>
    <w:p w14:paraId="08E93B4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负责竞赛场地的布置、比赛龙舟称重以及其他比赛设备的安装与调试，并确保正常运行；</w:t>
      </w:r>
    </w:p>
    <w:p w14:paraId="76950C0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落实竞赛场地的基础信息网络、音视频播放系统、LED大屏幕等基础设施；</w:t>
      </w:r>
    </w:p>
    <w:p w14:paraId="4EFC646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负责比赛场地内外形象景观的设置与维护，完成比赛场馆周边环境整治，设置必要的指示、提示标识；</w:t>
      </w:r>
    </w:p>
    <w:p w14:paraId="43A5A6C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负责赛时对场地硬件设施的管理、维护、修缮及日常巡查，确保正常运转；</w:t>
      </w:r>
    </w:p>
    <w:p w14:paraId="44FCF45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负责场地内各个区域的卫生清洁服务与废弃物分类收集和处理，为赛事创造优良环境；</w:t>
      </w:r>
    </w:p>
    <w:p w14:paraId="3735AC3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分析赛时可能发生的各种突发事件，制定应急预案，并做好培训、演练与应急处置工作；</w:t>
      </w:r>
    </w:p>
    <w:p w14:paraId="211C2C7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微软雅黑" w:hAnsi="微软雅黑" w:cs="宋体"/>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完成组委会交办的其他工作。</w:t>
      </w:r>
    </w:p>
    <w:p w14:paraId="50E3C34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9.4后勤接待处</w:t>
      </w:r>
    </w:p>
    <w:p w14:paraId="4CC83F8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编制贵宾、技术官员、裁判员、运动队迎送、接待、食宿、交通等工作方案，制定详细实施计划；</w:t>
      </w:r>
    </w:p>
    <w:p w14:paraId="393A271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为组委会提供行政后勤支持；</w:t>
      </w:r>
    </w:p>
    <w:p w14:paraId="06FA594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确保交通安全和食品安全，杜绝发生食源性兴奋剂事件；</w:t>
      </w:r>
    </w:p>
    <w:p w14:paraId="4D409E7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分析赛时可能发生的各种突发事件，制定应急预案，并做好培训、演练与应急处置工作；</w:t>
      </w:r>
    </w:p>
    <w:p w14:paraId="430B02C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完成组委会交办的其他工作。</w:t>
      </w:r>
    </w:p>
    <w:p w14:paraId="18759EA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9.5新闻宣传处</w:t>
      </w:r>
    </w:p>
    <w:p w14:paraId="7355104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引导新闻单位积极做好比赛之前的舆论宣传和比赛期间赛事的全面报道；</w:t>
      </w:r>
    </w:p>
    <w:p w14:paraId="215EBEA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负责准备好赛场内外新闻宣传设施条件，落实环境布置工作；</w:t>
      </w:r>
    </w:p>
    <w:p w14:paraId="4AC3CE9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与相关部门协调，安排好赛场内摄影（像）记者、电视转播人员和场外媒体记者的的工作位置；</w:t>
      </w:r>
    </w:p>
    <w:p w14:paraId="54D8BE0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负责提供赛事相关的宣传材料；</w:t>
      </w:r>
    </w:p>
    <w:p w14:paraId="1A002B6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落实新闻发布场所，组织好新闻发布会；</w:t>
      </w:r>
    </w:p>
    <w:p w14:paraId="138ED69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分析赛时可能发生的各种突发事件，制定应急预案，并做好培训、演练与应急处置工作；</w:t>
      </w:r>
    </w:p>
    <w:p w14:paraId="69CBC24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完成组委会交办的其他工作。</w:t>
      </w:r>
    </w:p>
    <w:p w14:paraId="48E868E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9.6安全保卫处</w:t>
      </w:r>
    </w:p>
    <w:p w14:paraId="170CE9E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与公安、海事部门密切联系，明确安保指挥体系和责任体系，保障赛事运行安全；</w:t>
      </w:r>
    </w:p>
    <w:p w14:paraId="65759B5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负责赛会酒店、比赛相关水域的安全保卫工作；</w:t>
      </w:r>
    </w:p>
    <w:p w14:paraId="6BD5CF7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8"/>
          <w:szCs w:val="28"/>
          <w:lang w:val="en-US" w:eastAsia="zh-CN" w:bidi="ar"/>
        </w:rPr>
        <w:t xml:space="preserve">— — </w:t>
      </w:r>
      <w:r>
        <w:rPr>
          <w:rFonts w:hint="eastAsia" w:ascii="仿宋_GB2312" w:hAnsi="微软雅黑" w:eastAsia="仿宋_GB2312" w:cs="宋体"/>
          <w:color w:val="000000" w:themeColor="text1"/>
          <w:sz w:val="28"/>
          <w:szCs w:val="28"/>
          <w:lang w:val="en-US" w:eastAsia="zh-CN"/>
          <w14:textFill>
            <w14:solidFill>
              <w14:schemeClr w14:val="tx1"/>
            </w14:solidFill>
          </w14:textFill>
        </w:rPr>
        <w:t>做好比赛现场的秩序维护，严密注意两岸观众及上游水域巡逻守护，及时处置各类紧急突发事件；</w:t>
      </w:r>
    </w:p>
    <w:p w14:paraId="0486020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分析可能发生的各种突发事件，制定应急预案，并做好培训、演练与应急处置工作；</w:t>
      </w:r>
    </w:p>
    <w:p w14:paraId="24084D5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完成组委会交办的其他工作。</w:t>
      </w:r>
    </w:p>
    <w:p w14:paraId="6D8CB09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9.7医疗卫生处</w:t>
      </w:r>
    </w:p>
    <w:p w14:paraId="495E84F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综合协调比赛现场及相关宾馆的医疗救护、卫生应急处置、公共场所卫生、生活饮用水、环境卫生、传染病防控、病媒生物防治及控制吸烟的监督检查工作，制定工作方案和实施计划；</w:t>
      </w:r>
    </w:p>
    <w:p w14:paraId="4A1FCCE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落实就近综合性医疗救护医院作为赛事的官方指定医院，开通绿色通道；</w:t>
      </w:r>
    </w:p>
    <w:p w14:paraId="410567B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组织相关人员的专业技能培训和上岗培训；</w:t>
      </w:r>
    </w:p>
    <w:p w14:paraId="07693D4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落实救护车及必要的药品和医疗设备；</w:t>
      </w:r>
    </w:p>
    <w:p w14:paraId="6B60F6E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成立紧急救护、卫生监督、医疗保健工作应急小组，制定突发事件应急预案并组织应急演练；</w:t>
      </w:r>
    </w:p>
    <w:p w14:paraId="01EBFC0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Theme="minorEastAsia" w:hAnsiTheme="minorEastAsia" w:eastAsiaTheme="minorEastAsia" w:cstheme="minorEastAsia"/>
          <w:b w:val="0"/>
          <w:bCs w:val="0"/>
          <w:kern w:val="0"/>
          <w:sz w:val="28"/>
          <w:szCs w:val="28"/>
          <w:lang w:val="en-US" w:eastAsia="zh-CN" w:bidi="ar"/>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完成组委会交办的其他工作。</w:t>
      </w:r>
    </w:p>
    <w:p w14:paraId="455AECA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2E947DB2">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10 安全与应急管理</w:t>
      </w:r>
    </w:p>
    <w:p w14:paraId="4612A6B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10.1食宿交通保障</w:t>
      </w:r>
    </w:p>
    <w:p w14:paraId="0662765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运动队和裁判员驻地必须分两处安排，酒店规格不低于三星级标准。驻地到赛场步行需10分钟以上的须有车辆接送。赛事承办方根据竞赛需要安排好运动员驻地循环班车的运行。</w:t>
      </w:r>
    </w:p>
    <w:p w14:paraId="6FCE1B6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10.2水上安全保障</w:t>
      </w:r>
    </w:p>
    <w:p w14:paraId="0847E5B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10.2.1安全岗位</w:t>
      </w:r>
    </w:p>
    <w:p w14:paraId="02C53ED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龙舟比赛期间，必须全面负责各参赛队、裁判员、工作人员以及所有参与者的安全，必须有专业人员负责安全保卫工作，保证比赛期间的秩序，做好各方面参赛人员的安全保障工作。</w:t>
      </w:r>
    </w:p>
    <w:p w14:paraId="2D83F8A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大会设安全主任和安全员。安全主任和安全员有承办单位挑选并培训合格方能上岗。</w:t>
      </w:r>
    </w:p>
    <w:p w14:paraId="4CAA7BD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在安全主任、救生艇和赛道裁判艇之间建立有效的通讯系统，确保比赛期间及时开展救生工作。</w:t>
      </w:r>
    </w:p>
    <w:p w14:paraId="20DE368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大会提供设备齐全和救生艇和个人救生设备，并配有专业资质的救生员。</w:t>
      </w:r>
    </w:p>
    <w:p w14:paraId="3449571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10.2.2安全职责</w:t>
      </w:r>
    </w:p>
    <w:p w14:paraId="196BCCC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制订整场赛事安全系统的运作程序及意外情况发生处理方案。</w:t>
      </w:r>
    </w:p>
    <w:p w14:paraId="716D339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参加领队、教练员及裁判长的联席会议，由安全主任讲解赛事安全运作程序及应急预案。</w:t>
      </w:r>
    </w:p>
    <w:p w14:paraId="2A2A07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赛前收集各参赛队运动员相关资料（包括运动员病历记录、泳技不佳运动员名单等），尽早掌握运动员基本情况。</w:t>
      </w:r>
    </w:p>
    <w:p w14:paraId="373AE7C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及时清查参赛队登舟与上岸人数，尤其在比赛中发生落水上岸时，安全员应即刻清点上岸人数，确定人数齐全后，方可召回救生船只。</w:t>
      </w:r>
    </w:p>
    <w:p w14:paraId="1DD9A58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比赛期间出现特殊情况，且继续比赛将影响参赛者安全和健康时，安全主任应及时建议总裁判长采取措施，延期或取消比赛。</w:t>
      </w:r>
    </w:p>
    <w:p w14:paraId="4FB56D2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负责比赛中参赛者的一切安全事宜，确保安全措施的落实。</w:t>
      </w:r>
    </w:p>
    <w:p w14:paraId="543D441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10.3安全机构与设备</w:t>
      </w:r>
    </w:p>
    <w:p w14:paraId="5D31FE9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医疗及救生服务站</w:t>
      </w:r>
    </w:p>
    <w:p w14:paraId="09DEE9F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比赛期间，大会设水上和陆上医疗及救生服务站，由承办单位负责提供，并对参加的医疗及救生服务人员进行培训。赛前、赛中安排有资质的救生员若干名、医生1-2名、护士2名并在赛场内设置医疗救护站，配备救护车1辆，心脏除颤仪、轮式担架等急救药品和器械。</w:t>
      </w:r>
    </w:p>
    <w:p w14:paraId="38E127C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救生艇</w:t>
      </w:r>
    </w:p>
    <w:p w14:paraId="2F120A8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比赛期间，承办方至少准备4艘救生艇，在赛场内指定地点值班，随时准备施救。超过10公里的拉力赛，还须配备一艘大型水上救护船，船上配备相应医护人员和救护医疗设备。</w:t>
      </w:r>
    </w:p>
    <w:p w14:paraId="22CB67A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救生衣</w:t>
      </w:r>
    </w:p>
    <w:p w14:paraId="3C3DB64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大会为所有参赛队运动员提供救生衣。</w:t>
      </w:r>
    </w:p>
    <w:p w14:paraId="636A1970">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10.3 赛事保险</w:t>
      </w:r>
    </w:p>
    <w:p w14:paraId="640FF129">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各参赛队必须自行购买所有人员的人身意外伤害保险，比赛报到时必须携带保险单复印件；主办方负责为裁判员、工作人员及志愿者购买人身意外伤害保险；以上人员的投保标准参照中国龙舟协会相关条例执行。</w:t>
      </w:r>
    </w:p>
    <w:p w14:paraId="2A326E83">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p>
    <w:p w14:paraId="0667D6DF">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11赛事熔断机制</w:t>
      </w:r>
    </w:p>
    <w:p w14:paraId="11F8CDE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龙舟赛事的熔断机制旨在确保赛事在安全、有序的环境下进行。</w:t>
      </w:r>
    </w:p>
    <w:p w14:paraId="22089F7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11.1定义与目的</w:t>
      </w:r>
    </w:p>
    <w:p w14:paraId="22261FC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定义：龙舟赛事的熔断机制是指在赛事过程中，当出现安全隐患、突发事件或不可控因素时，为确保人员安全和赛事顺利进行，立即采取停止比赛、疏散人员等紧急措施的一种制度。</w:t>
      </w:r>
    </w:p>
    <w:p w14:paraId="2C9FA63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目的：通过熔断机制，可以及时发现并消除安全隐患，防止事态进一步恶化，确保参赛选手、观众和工作人员的生命安全，同时维护赛事的公平性和秩序。</w:t>
      </w:r>
    </w:p>
    <w:p w14:paraId="2D164D0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11.2龙舟赛事熔断机制实施条件与流程</w:t>
      </w:r>
    </w:p>
    <w:p w14:paraId="408E310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11.2.1实施条件</w:t>
      </w:r>
    </w:p>
    <w:p w14:paraId="3CF1867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天气突变（如暴雨、雷电、大风等恶劣天气可能影响赛事安全）、赛事设备故障（如龙舟赛场被严重损坏、救生设备失效等）、人员安全问题（如参赛选手突发疾病、观众区域出现紧急情况等）、疫情防控需要（如疫情形势变化，需要紧急调整赛事安排）。</w:t>
      </w:r>
    </w:p>
    <w:p w14:paraId="1C1B8CC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11.2.2实施流程：</w:t>
      </w:r>
    </w:p>
    <w:p w14:paraId="70351E5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监测与预警：赛事主办方应密切关注天气变化、设备状况及人员安全情况，一旦发现异常情况，立即启动预警机制。</w:t>
      </w:r>
    </w:p>
    <w:p w14:paraId="519E487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决策与执行：根据预警信息，赛事主办方应迅速作出决策，启动熔断机制，通知相关部门和人员执行紧急措施。</w:t>
      </w:r>
    </w:p>
    <w:p w14:paraId="5F0A8B7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疏散与安置：在确保安全的前提下，有序疏散参赛选手、观众和工作人员，并提供必要的安置和援助。</w:t>
      </w:r>
    </w:p>
    <w:p w14:paraId="085AE8C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 后续处理：对熔断机制实施后的赛事安排进行调整，同时总结经验教训，完善相关制度和措施。</w:t>
      </w:r>
    </w:p>
    <w:p w14:paraId="276497C1">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00A7DD3E">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12 新闻宣传与舆情管理</w:t>
      </w:r>
    </w:p>
    <w:p w14:paraId="78C913EC">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default"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12.1新闻宣传渠道与内容</w:t>
      </w:r>
    </w:p>
    <w:p w14:paraId="740EB6E4">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—建立官方宣传渠道：创建赛事官方网站、社交媒体账号（如微信公众号、微博、抖音等），及时发布赛事信息，包括赛程安排、参赛队伍、奖金设置、历史文化背景等，吸引潜在观众和参与者的关注。</w:t>
      </w:r>
    </w:p>
    <w:p w14:paraId="06DC4C9C">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—新闻发布会：赛前召开新闻发布会，邀请各大媒体记者参加，介绍赛事筹备情况、亮点特色和预期效果，通过媒体的广泛报道，扩大赛事的知名度和影响力。</w:t>
      </w:r>
    </w:p>
    <w:p w14:paraId="6D4C625B">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—合作媒体推广：与当地及周边地区的报纸、电视台、广播电台等传统媒体建立合作关系，进行赛事专题报道、广告投放和嘉宾访谈，覆盖更广泛的受众群体。</w:t>
      </w:r>
    </w:p>
    <w:p w14:paraId="5BEFA580">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—选手故事与预热：挖掘参赛选手的个人故事、训练经历和团队精神，通过新闻稿、短视频等形式进行宣传，引发观众的情感共鸣，提高赛事的关注度和期待值。</w:t>
      </w:r>
    </w:p>
    <w:p w14:paraId="5178FD21">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实时报道赛事进程：利用新媒体平台进行实时图文、视频直播，让无法亲临现场的观众也能同步感受比赛的激烈氛围。同时，安排专业记者和解说员对比赛进行详细解说，介绍比赛规则、战术运用和精彩瞬间，增加观众的观赛体验。</w:t>
      </w:r>
    </w:p>
    <w:p w14:paraId="1272499C">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拍摄精彩瞬间照片与视频：配备专业摄影摄像团队，捕捉比赛中的精彩画面和感人瞬间，如龙舟冲刺、鼓手激情击鼓、队员奋力划桨等，制作成高质量的图片和视频素材，通过社交媒体、官方网站等渠道进行广泛传播，吸引更多用户的关注和分享。</w:t>
      </w:r>
    </w:p>
    <w:p w14:paraId="0952DB22">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—互动活动增强观众参与感：在赛事现场和线上平台开展互动活动，如观众投票评选最佳队伍、最具人气选手，举办线上龙舟知识问答、抽奖等活动，提高观众的参与度和粘性。</w:t>
      </w:r>
    </w:p>
    <w:p w14:paraId="1F489F58">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—赛事结果公布与表彰：及时在官方渠道和合作媒体上公布比赛结果，对获奖队伍和选手进行表彰和宣传，展示他们的荣誉和成就，提升赛事的权威性和公信力。</w:t>
      </w:r>
    </w:p>
    <w:p w14:paraId="33ED6551">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精彩回顾与数据分析：制作赛事精彩回顾视频和图文总结，全面展示赛事的亮点和成果，同时发布赛事相关的数据分析报告，如参赛人数、观众数量、社交媒体曝光量、话题热度等，为赛事的评估和未来发展提供数据支持。</w:t>
      </w:r>
    </w:p>
    <w:p w14:paraId="5F754B61">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 —持续推广赛事品牌：赛后通过媒体合作、参加体育展会等方式，持续宣传赛事品牌，总结经验教训，为下一届赛事的筹备和举办积累经验和资源，保持赛事的热度和影响力。</w:t>
      </w:r>
    </w:p>
    <w:p w14:paraId="6DABA07F">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12.2 新闻宣传工作原则与价值观</w:t>
      </w:r>
    </w:p>
    <w:p w14:paraId="41988C78">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12.2.1 真实性原则：龙舟赛事新闻宣传首要原则是真实。从赛事筹备情况，如参赛队伍数量、赛事日程安排，到比赛过程中的成绩、精彩瞬间及突发状况，都必须如实呈现。记者要深入现场，精准核实信息，避免虚假报道，准确报道比赛的胜负结果、队伍犯规情况等，确保公众获取的信息可信，维护赛事的严肃性与公正性，保障受众知情权。</w:t>
      </w:r>
    </w:p>
    <w:p w14:paraId="3703B7DC">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12.2.2 客观性原则：秉持客观立场至关重要。在报道中，对各参赛队伍要一视同仁，不偏袒、不歧视。描述比赛表现时，依据战术执行、团队协作、个人技术发挥等客观事实，不受主观臆断或受商业利益、地域情感等因素干扰。</w:t>
      </w:r>
    </w:p>
    <w:p w14:paraId="1099C572">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12.2.3 及时性原则：新闻团队需快速采集、编辑、发布信息，从比赛开幕式、预赛到决赛都要第一时间传递给受众。利用新媒体平台实时更新赛况，通过图文、短视频等形式迅速展现精彩画面，增强赛事的影响力与关注度，满足公众对即时信息的需求。</w:t>
      </w:r>
    </w:p>
    <w:p w14:paraId="4A032A25">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12.2.4 文化传承与弘扬价值观：龙舟赛事蕴含深厚文化底蕴，新闻宣传应挖掘并传承其文化价值。讲述龙舟起源、发展脉络、各地特色习俗，如端午赛龙舟纪念屈原等传统故事，传播团结协作、奋勇争先、拼搏进取的龙舟精神，激励参与者与观众在生活中秉持这些精神品质，让古老的龙舟文化在现代社会中焕发生机，通过赛事宣传促进文化的交流与传承，提升民族文化自信，赋予赛事超越体育竞技的文化内涵与社会价值，增强社会凝聚力与向心力。</w:t>
      </w:r>
    </w:p>
    <w:p w14:paraId="16597891">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default"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12.3 舆情管理工作政策</w:t>
      </w:r>
    </w:p>
    <w:p w14:paraId="2C385E00">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12.3.1监测舆情动态</w:t>
      </w:r>
    </w:p>
    <w:p w14:paraId="26953D58">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建立舆情监测系统：利用专业的舆情监测软件，对社交媒体、新闻网站、论坛、博客等网络平台上与龙舟赛事相关的信息进行实时监测，及时掌握舆情动态和趋势。</w:t>
      </w:r>
    </w:p>
    <w:p w14:paraId="4108223B">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设置关键词与预警机制：根据赛事特点和可能出现的舆情热点，设置相关关键词，如赛事组织、裁判判罚、队员表现、安全问题等，一旦监测到与关键词相关的负面舆情信息，及时发出预警，以便赛事主办方能够迅速做出反应。</w:t>
      </w:r>
    </w:p>
    <w:p w14:paraId="72FCBAD4">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12.3.2 应对负面舆情</w:t>
      </w:r>
    </w:p>
    <w:p w14:paraId="6218E2FD">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及时回应与澄清事实：对于出现的负面舆情，赛事主办方要迅速成立舆情应对小组，第一时间发布权威信息，回应公众关切，澄清事实真相，避免不实信息的传播和扩散。</w:t>
      </w:r>
    </w:p>
    <w:p w14:paraId="7BDF5723">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诚恳道歉与改进措施：如果负面舆情是由于赛事组织方的失误或不足导致的，要诚恳地向公众道歉，并及时公布改进措施和解决方案，展示主办方积极负责的态度，赢得公众的理解和信任。</w:t>
      </w:r>
    </w:p>
    <w:p w14:paraId="64415529">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引导正面舆论：通过发布正面的赛事信息、选手故事、观众反馈等内容，积极引导舆论走向，营造良好的舆论氛围。同时，邀请专家学者、体育名人等发表正面评论和观点，增强正面舆论的影响力。</w:t>
      </w:r>
    </w:p>
    <w:p w14:paraId="5CE27B74">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12.3.3危机公关处理</w:t>
      </w:r>
    </w:p>
    <w:p w14:paraId="01C6AB1C">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制定危机公关预案：在赛事筹备阶段，制定完善的危机公关预案，明确危机事件的类型、等级和应对流程，确保在遇到重大舆情危机时能够有条不紊地进行处理。</w:t>
      </w:r>
    </w:p>
    <w:p w14:paraId="573ACBDE">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协调各方资源：在危机公关处理过程中，赛事主办方要积极协调政府部门、媒体、合作伙伴等各方资源，形成合力，共同应对危机事件，最大限度地降低负面影响。</w:t>
      </w:r>
    </w:p>
    <w:p w14:paraId="694B738F">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恢复赛事形象：危机事件平息后，要及时开展形象修复工作，通过举办一系列正面活动、加强宣传推广等方式，重新树立赛事的良好形象，恢复公众对赛事的信心和支持。</w:t>
      </w:r>
    </w:p>
    <w:p w14:paraId="488A8FFE">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2D0B75CD">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13赛事场地、器材与设施</w:t>
      </w:r>
    </w:p>
    <w:p w14:paraId="6F73D58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参见中国龙舟协会制定的《中国龙舟竞赛规则与裁判法（2020版）》。</w:t>
      </w:r>
    </w:p>
    <w:p w14:paraId="2EB31CC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64F4EB3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14 体育展示</w:t>
      </w:r>
    </w:p>
    <w:p w14:paraId="5B6C89B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14.1思想要求</w:t>
      </w:r>
    </w:p>
    <w:p w14:paraId="6ABB781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14.1.1指导思想</w:t>
      </w:r>
    </w:p>
    <w:p w14:paraId="71B6AB7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中国龙舟赛事体育展示工作要深入贯彻落实新时代中国特色社会主义思想及全国宣传工作会议精神，牢牢把握体育工作的话语权，以提升中国龙舟运动公众形象为目的，着力提高舆论引导能力和水平，大力宣传中国龙舟运动精神和中华民族传统文化，为中国龙舟事业的健康发展提供舆论支持、精神动力和文化条件。</w:t>
      </w:r>
    </w:p>
    <w:p w14:paraId="6AAF111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14.1.2竞赛展示思想</w:t>
      </w:r>
    </w:p>
    <w:p w14:paraId="7815FD5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前仪式展示环节，要力求凸显赛事主题，彰显公平竞争的体育精神；赛中解说环节，要求队伍介绍详实，规则介绍准确，场上比赛形势介绍清楚，不能出现掺杂个人主观情绪和影响比赛公平、公正的话语；赛后展示环节，要着重体现感谢，对运动员、观众、主办方、承办方、裁判员、安保人员、志愿者等表达谢意。</w:t>
      </w:r>
    </w:p>
    <w:p w14:paraId="3B5E048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14.1.3文化展示思想</w:t>
      </w:r>
    </w:p>
    <w:p w14:paraId="71A68B2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要求重点展示中国传统文化、中国龙舟文化、举办地城市文化和民俗文化，对中国龙舟运动起源、发展、龙舟赛事等基本情况要详细介绍。</w:t>
      </w:r>
    </w:p>
    <w:p w14:paraId="1245F7B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14.2形式要求</w:t>
      </w:r>
    </w:p>
    <w:p w14:paraId="0C400F2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14.2.1视频形式</w:t>
      </w:r>
    </w:p>
    <w:p w14:paraId="35CAB3D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赛场播放的视频要求统一制作、统一播放、严格审查，内容仅限于举办地城市宣传片、赛事活动背景介绍、赛事实况展示等，对播放的赞助商广告要经赛事承办方严格审批。</w:t>
      </w:r>
    </w:p>
    <w:p w14:paraId="26D9159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14.2.2音频形式</w:t>
      </w:r>
    </w:p>
    <w:p w14:paraId="67E1BCA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现场音频播放源只限是赛事音响操控设备、现场宣告员体育展示设备，不允许其他单位（个人）提供的未经审查的音频资源在赛事活动范围内展示。</w:t>
      </w:r>
    </w:p>
    <w:p w14:paraId="18186F6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14.2.3表演形式</w:t>
      </w:r>
    </w:p>
    <w:p w14:paraId="16626D9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开闭幕及赛事中间穿插的节目表演，需经赛事承办方严格审查，要求弘扬主旋律，体现当地特色，如：民族舞蹈、啦啦操、吉祥物表演、现场互动表演等。</w:t>
      </w:r>
    </w:p>
    <w:p w14:paraId="1377390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14.3人员要求</w:t>
      </w:r>
    </w:p>
    <w:p w14:paraId="4050743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担任龙舟赛事宣告工作的人员，必须熟悉中国龙舟运动规则，参加过正规龙舟裁判员培训并考核合格。全国性龙舟赛事的宣告员必须取得中国龙舟协会认定的一级及以上龙舟裁判员证书。</w:t>
      </w:r>
    </w:p>
    <w:p w14:paraId="387CD96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3CF53EB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15 开幕式与颁奖仪式</w:t>
      </w:r>
    </w:p>
    <w:p w14:paraId="3458BDC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xml:space="preserve">15.1 </w:t>
      </w:r>
      <w:r>
        <w:rPr>
          <w:rFonts w:hint="default" w:ascii="仿宋_GB2312" w:hAnsi="微软雅黑" w:eastAsia="仿宋_GB2312" w:cs="宋体"/>
          <w:color w:val="000000" w:themeColor="text1"/>
          <w:sz w:val="28"/>
          <w:szCs w:val="28"/>
          <w:lang w:val="en-US" w:eastAsia="zh-CN"/>
          <w14:textFill>
            <w14:solidFill>
              <w14:schemeClr w14:val="tx1"/>
            </w14:solidFill>
          </w14:textFill>
        </w:rPr>
        <w:t>龙舟比赛开幕式</w:t>
      </w:r>
    </w:p>
    <w:p w14:paraId="3F5650F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1</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领导与嘉宾入场（迎宾舞表演3-5分钟）</w:t>
      </w:r>
    </w:p>
    <w:p w14:paraId="1FFC3C2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w:t>
      </w:r>
      <w:r>
        <w:rPr>
          <w:rFonts w:hint="default" w:ascii="仿宋_GB2312" w:hAnsi="微软雅黑" w:eastAsia="仿宋_GB2312" w:cs="宋体"/>
          <w:color w:val="000000" w:themeColor="text1"/>
          <w:sz w:val="28"/>
          <w:szCs w:val="28"/>
          <w:lang w:val="en-US" w:eastAsia="zh-CN"/>
          <w14:textFill>
            <w14:solidFill>
              <w14:schemeClr w14:val="tx1"/>
            </w14:solidFill>
          </w14:textFill>
        </w:rPr>
        <w:t>龙舟巡游</w:t>
      </w:r>
    </w:p>
    <w:p w14:paraId="7E49735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(3)</w:t>
      </w:r>
      <w:r>
        <w:rPr>
          <w:rFonts w:hint="default" w:ascii="仿宋_GB2312" w:hAnsi="微软雅黑" w:eastAsia="仿宋_GB2312" w:cs="宋体"/>
          <w:color w:val="000000" w:themeColor="text1"/>
          <w:sz w:val="28"/>
          <w:szCs w:val="28"/>
          <w:lang w:val="en-US" w:eastAsia="zh-CN"/>
          <w14:textFill>
            <w14:solidFill>
              <w14:schemeClr w14:val="tx1"/>
            </w14:solidFill>
          </w14:textFill>
        </w:rPr>
        <w:t>奏唱中华人民共和国国歌</w:t>
      </w:r>
    </w:p>
    <w:p w14:paraId="4837045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(4)</w:t>
      </w:r>
      <w:r>
        <w:rPr>
          <w:rFonts w:hint="default" w:ascii="仿宋_GB2312" w:hAnsi="微软雅黑" w:eastAsia="仿宋_GB2312" w:cs="宋体"/>
          <w:color w:val="000000" w:themeColor="text1"/>
          <w:sz w:val="28"/>
          <w:szCs w:val="28"/>
          <w:lang w:val="en-US" w:eastAsia="zh-CN"/>
          <w14:textFill>
            <w14:solidFill>
              <w14:schemeClr w14:val="tx1"/>
            </w14:solidFill>
          </w14:textFill>
        </w:rPr>
        <w:t>介绍出席的领导与嘉宾</w:t>
      </w:r>
    </w:p>
    <w:p w14:paraId="617B21A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(5)</w:t>
      </w:r>
      <w:r>
        <w:rPr>
          <w:rFonts w:hint="default" w:ascii="仿宋_GB2312" w:hAnsi="微软雅黑" w:eastAsia="仿宋_GB2312" w:cs="宋体"/>
          <w:color w:val="000000" w:themeColor="text1"/>
          <w:sz w:val="28"/>
          <w:szCs w:val="28"/>
          <w:lang w:val="en-US" w:eastAsia="zh-CN"/>
          <w14:textFill>
            <w14:solidFill>
              <w14:schemeClr w14:val="tx1"/>
            </w14:solidFill>
          </w14:textFill>
        </w:rPr>
        <w:t>领导致欢迎词</w:t>
      </w:r>
    </w:p>
    <w:p w14:paraId="2678F6B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w:t>
      </w:r>
      <w:r>
        <w:rPr>
          <w:rFonts w:hint="default" w:ascii="仿宋_GB2312" w:hAnsi="微软雅黑" w:eastAsia="仿宋_GB2312" w:cs="宋体"/>
          <w:color w:val="000000" w:themeColor="text1"/>
          <w:sz w:val="28"/>
          <w:szCs w:val="28"/>
          <w:lang w:val="en-US" w:eastAsia="zh-CN"/>
          <w14:textFill>
            <w14:solidFill>
              <w14:schemeClr w14:val="tx1"/>
            </w14:solidFill>
          </w14:textFill>
        </w:rPr>
        <w:t>运动员代表宣誓</w:t>
      </w:r>
    </w:p>
    <w:p w14:paraId="7B3A02C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w:t>
      </w:r>
      <w:r>
        <w:rPr>
          <w:rFonts w:hint="default" w:ascii="仿宋_GB2312" w:hAnsi="微软雅黑" w:eastAsia="仿宋_GB2312" w:cs="宋体"/>
          <w:color w:val="000000" w:themeColor="text1"/>
          <w:sz w:val="28"/>
          <w:szCs w:val="28"/>
          <w:lang w:val="en-US" w:eastAsia="zh-CN"/>
          <w14:textFill>
            <w14:solidFill>
              <w14:schemeClr w14:val="tx1"/>
            </w14:solidFill>
          </w14:textFill>
        </w:rPr>
        <w:t>裁判员代表宣誓</w:t>
      </w:r>
    </w:p>
    <w:p w14:paraId="55F2170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(8)</w:t>
      </w:r>
      <w:r>
        <w:rPr>
          <w:rFonts w:hint="default" w:ascii="仿宋_GB2312" w:hAnsi="微软雅黑" w:eastAsia="仿宋_GB2312" w:cs="宋体"/>
          <w:color w:val="000000" w:themeColor="text1"/>
          <w:sz w:val="28"/>
          <w:szCs w:val="28"/>
          <w:lang w:val="en-US" w:eastAsia="zh-CN"/>
          <w14:textFill>
            <w14:solidFill>
              <w14:schemeClr w14:val="tx1"/>
            </w14:solidFill>
          </w14:textFill>
        </w:rPr>
        <w:t>领导与嘉宾为龙舟披红点睛</w:t>
      </w:r>
    </w:p>
    <w:p w14:paraId="02E57CC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(9)</w:t>
      </w:r>
      <w:r>
        <w:rPr>
          <w:rFonts w:hint="default" w:ascii="仿宋_GB2312" w:hAnsi="微软雅黑" w:eastAsia="仿宋_GB2312" w:cs="宋体"/>
          <w:color w:val="000000" w:themeColor="text1"/>
          <w:sz w:val="28"/>
          <w:szCs w:val="28"/>
          <w:lang w:val="en-US" w:eastAsia="zh-CN"/>
          <w14:textFill>
            <w14:solidFill>
              <w14:schemeClr w14:val="tx1"/>
            </w14:solidFill>
          </w14:textFill>
        </w:rPr>
        <w:t>领导宣布开幕</w:t>
      </w:r>
    </w:p>
    <w:p w14:paraId="0FB1856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1</w:t>
      </w:r>
      <w:r>
        <w:rPr>
          <w:rFonts w:hint="eastAsia" w:ascii="仿宋_GB2312" w:hAnsi="微软雅黑" w:eastAsia="仿宋_GB2312" w:cs="宋体"/>
          <w:color w:val="000000" w:themeColor="text1"/>
          <w:sz w:val="28"/>
          <w:szCs w:val="28"/>
          <w:lang w:val="en-US" w:eastAsia="zh-CN"/>
          <w14:textFill>
            <w14:solidFill>
              <w14:schemeClr w14:val="tx1"/>
            </w14:solidFill>
          </w14:textFill>
        </w:rPr>
        <w:t>0)</w:t>
      </w:r>
      <w:r>
        <w:rPr>
          <w:rFonts w:hint="default" w:ascii="仿宋_GB2312" w:hAnsi="微软雅黑" w:eastAsia="仿宋_GB2312" w:cs="宋体"/>
          <w:color w:val="000000" w:themeColor="text1"/>
          <w:sz w:val="28"/>
          <w:szCs w:val="28"/>
          <w:lang w:val="en-US" w:eastAsia="zh-CN"/>
          <w14:textFill>
            <w14:solidFill>
              <w14:schemeClr w14:val="tx1"/>
            </w14:solidFill>
          </w14:textFill>
        </w:rPr>
        <w:t>文艺表演（3-5分钟）</w:t>
      </w:r>
    </w:p>
    <w:p w14:paraId="243EA58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p>
    <w:p w14:paraId="046E6FD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xml:space="preserve">15.2 </w:t>
      </w:r>
      <w:r>
        <w:rPr>
          <w:rFonts w:hint="default" w:ascii="仿宋_GB2312" w:hAnsi="微软雅黑" w:eastAsia="仿宋_GB2312" w:cs="宋体"/>
          <w:color w:val="000000" w:themeColor="text1"/>
          <w:sz w:val="28"/>
          <w:szCs w:val="28"/>
          <w:lang w:val="en-US" w:eastAsia="zh-CN"/>
          <w14:textFill>
            <w14:solidFill>
              <w14:schemeClr w14:val="tx1"/>
            </w14:solidFill>
          </w14:textFill>
        </w:rPr>
        <w:t>颁奖仪式</w:t>
      </w:r>
    </w:p>
    <w:p w14:paraId="7B7EB55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每项目的前三名将分别获得金牌、银牌和铜牌。颁奖仪式开始前15分钟，工作人员负责引导获奖运动员到颁奖等候区。运动员须着各省、市官方指定服装。</w:t>
      </w:r>
    </w:p>
    <w:p w14:paraId="5A94918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5569089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16 参与者服务</w:t>
      </w:r>
    </w:p>
    <w:p w14:paraId="15C4F72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 观众交通引导</w:t>
      </w:r>
    </w:p>
    <w:p w14:paraId="51633F0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16.1.1建立官方交通信息渠道</w:t>
      </w:r>
    </w:p>
    <w:p w14:paraId="20588CE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设立专门的龙舟比赛官方网站和社交媒体账号，发布详细的交通指南，包括比赛场地周边的交通状况、公共交通线路、停车场位置及容量等信息。</w:t>
      </w:r>
    </w:p>
    <w:p w14:paraId="464FF13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与当地交通广播电台合作，定时播报比赛当日的交通路况和引导信息，提醒观众提前规划出行路线。</w:t>
      </w:r>
    </w:p>
    <w:p w14:paraId="78B239C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16.1.2 增加公交运力</w:t>
      </w:r>
    </w:p>
    <w:p w14:paraId="6A2BC18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与公交公司协商，在比赛当天加密前往比赛场地的公交线路班次，特别是在比赛开场前 2 - 3 小时和散场后的 1 - 2 小时内，确保观众能够及时乘坐公交前往和离开场地，减少等待时间。</w:t>
      </w:r>
    </w:p>
    <w:p w14:paraId="622A837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根据比赛场地的位置和周边公交站点分布情况，临时开通几条直达或大站快线公交，方便观众快速抵达。</w:t>
      </w:r>
    </w:p>
    <w:p w14:paraId="29AEC5E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16.1.3 规划停车场布局</w:t>
      </w:r>
    </w:p>
    <w:p w14:paraId="3E55F37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在比赛场地周边合理规划停车场，根据场地条件和预计的观众数量，划分不同类型的停车区域，包括小汽车停车场、摩托车停车场以及无障碍停车位等，确保各类车辆都能有合适的停放位置。</w:t>
      </w:r>
    </w:p>
    <w:p w14:paraId="2341775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提前对停车场进行清理和整理，确保场地平整、标识清晰，方便观众快速找到停车位。</w:t>
      </w:r>
    </w:p>
    <w:p w14:paraId="7B195FE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16.1.4 制定交通管制方案</w:t>
      </w:r>
    </w:p>
    <w:p w14:paraId="60D40A5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与当地交通管理部门合作，根据比赛场地周边的道路条件和交通流量，制定详细的交通管制方案。确定比赛当天的交通管制时间、管制路段和管制措施，提前向社会公布，以便市民提前做好出行安排。</w:t>
      </w:r>
    </w:p>
    <w:p w14:paraId="21677B9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在交通管制区域的边界设置明显的交通管制标识和警示设施，提醒过往车辆提前绕行，避免误入管制区域造成交通拥堵。</w:t>
      </w:r>
    </w:p>
    <w:p w14:paraId="15B3457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16.1.6 步行引导标识</w:t>
      </w:r>
    </w:p>
    <w:p w14:paraId="702C536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在比赛场地周边的公交站点、停车场、地铁站以及主要路口设置清晰的步行引导标识，引导观众前往比赛场地的入口。标识应采用统一的设计风格，包括颜色、图案和文字等，方便观众识别和跟随。</w:t>
      </w:r>
    </w:p>
    <w:p w14:paraId="6E00A27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在步行路线上，设置必要的照明设施和临时休息区域，确保观众在夜间或行走过程中能够安全、舒适地到达比赛场地。</w:t>
      </w:r>
    </w:p>
    <w:p w14:paraId="6128FAD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16.1.7 现场交通服务点</w:t>
      </w:r>
    </w:p>
    <w:p w14:paraId="0574597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比赛场地的主要入口处和周边关键位置设置多个交通服务点，配备一定数量的工作人员和志愿者，为观众提供交通咨询、引导和帮助服务。服务点应提供饮用水、急救药品、遮阳伞等基本物资，以应对观众可能出现的身体不适等情况。</w:t>
      </w:r>
    </w:p>
    <w:p w14:paraId="423C4AD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16.1.8 应急交通保障</w:t>
      </w:r>
    </w:p>
    <w:p w14:paraId="383C153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预留一定数量的应急车辆，如救护车、消防车和工程抢险车等，并确保这些车辆在比赛期间能够随时待命，应对突发的交通事故、火灾或其他紧急情况。同时，制定应急交通疏导预案，明确在紧急情况下的交通管制和疏导措施，确保救援通道的畅通无阻。</w:t>
      </w:r>
    </w:p>
    <w:p w14:paraId="4B5B3DA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16.2 观众固定或临时看台服务</w:t>
      </w:r>
    </w:p>
    <w:p w14:paraId="27FACC0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16.2.1 设施安全</w:t>
      </w:r>
    </w:p>
    <w:p w14:paraId="2222623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看台的建筑结构必须稳固。无论是固定看台的钢筋混凝土结构，还是临时看台的钢结构或脚手架结构，都要经过严格的安全检测。例如，固定看台的座椅要牢固安装在看台地面上，避免出现松动、脱落的情况；临时看台的搭建材料要符合质量标准，连接处要进行加固处理，防止在观众就坐或活动过程中发生坍塌事故。</w:t>
      </w:r>
    </w:p>
    <w:p w14:paraId="7A8AF7E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看台的通道和楼梯要保持畅通无阻，宽度要符合安全标准，能够满足在紧急情况下观众快速疏散的需求。通道地面要有良好的防滑性能，特别是在潮湿天气下，防止观众滑倒摔伤。楼梯的扶手要安装牢固，高度合适，方便不同身高的观众抓扶。</w:t>
      </w:r>
    </w:p>
    <w:p w14:paraId="615A74F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16.2.2 人员安全</w:t>
      </w:r>
    </w:p>
    <w:p w14:paraId="4F9CE6E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配备足够数量的安保人员，分布在看台的各个区域，包括入口、出口、通道和观众坐席中间等位置。安保人员的职责包括维持现场秩序，防止观众发生拥挤、推搡等行为。在观众入场和退场时，安保人员要引导人流，避免出现混乱局面。</w:t>
      </w:r>
    </w:p>
    <w:p w14:paraId="3B6CE07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要有完善的消防设施和应急疏散预案。看台周围应配备灭火器、消防栓等消防设备，并确保其处于良好的可用状态。同时，要设置明显的疏散指示标志。</w:t>
      </w:r>
    </w:p>
    <w:p w14:paraId="086C54F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16.2.3 座位设施</w:t>
      </w:r>
    </w:p>
    <w:p w14:paraId="76A2D72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座位的设计要符合人体工程学原理，让观众能够舒适地观看比赛。座椅的尺寸要合适，宽度和深度要能够容纳不同体型的观众，并且要有一定的靠背倾斜度，为观众的背部提供良好的支撑。对于固定看台，座位的布局要合理，保证每个观众都能有较好的视野，尽量减少视线遮挡。相邻座位之间的间距也要适当，方便观众进出。临时看台在座位布局上同样要考虑视野和间距问题，同时还要注意座位的稳定性，避免观众在就坐过程中座位晃动影响观看体验。</w:t>
      </w:r>
    </w:p>
    <w:p w14:paraId="312805A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16.2.4 餐饮服务</w:t>
      </w:r>
    </w:p>
    <w:p w14:paraId="4EB4713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看台附近应设置餐饮售卖点，提供丰富多样的食品和饮料选择。食品的种类可以包括传统的小吃等。餐饮售卖点要保证食品的安全和卫生，严格遵守食品卫生标准，对食品的采购、加工、储存等环节进行严格管理。为了方便观众购买，售卖点的位置要合理，避免观众为了购买餐饮而长时间离开座位影响观看比赛。同时，售卖点的排队区域要设计合理，避免出现过长的排队队伍影响通道通行。</w:t>
      </w:r>
    </w:p>
    <w:p w14:paraId="431680A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16.2.5 卫生设施</w:t>
      </w:r>
    </w:p>
    <w:p w14:paraId="0E4B182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要提供足够数量的卫生间，并且分布要合理，方便观众使用。卫生间的内部设施要齐全，包括洗手盆、马桶或蹲便器等，并且要保持清洁卫生。要安排专人定时打扫卫生间，补充卫生纸等用品，确保卫生间的环境整洁、无异味。</w:t>
      </w:r>
    </w:p>
    <w:p w14:paraId="16513B0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对于一些大型的龙舟赛看台，还可以设置母婴室和无障碍卫生间，以满足特殊人群的需求。母婴室里可以配备婴儿护理台、哺乳椅等设施，无障碍卫生间要方便残疾人使用，例如安装扶手、无障碍马桶等设施。</w:t>
      </w:r>
    </w:p>
    <w:p w14:paraId="5F904E5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16.2.6 提供赛事信息</w:t>
      </w:r>
    </w:p>
    <w:p w14:paraId="650B2FE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看台区域要设置信息显示屏，除了显示比赛的实时画面外，还可以提供赛事的相关信息，如参赛队伍介绍、比赛规则讲解、赛程安排、运动员的成绩和排名等。这些信息可以帮助观众更好地理解比赛，增加观众对赛事的参与感和兴趣。</w:t>
      </w:r>
    </w:p>
    <w:p w14:paraId="112E426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16.3 安检协查</w:t>
      </w:r>
    </w:p>
    <w:p w14:paraId="4F47FC8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16.3.1 身份核实</w:t>
      </w:r>
    </w:p>
    <w:p w14:paraId="60946EE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检查观众有效身份证件，确保身份真实，防止不法分子混入。对于被限制入场的人员（如赛事黑名单人员、有不良记录的捣乱分子等）要重点排查，拒绝其入场。</w:t>
      </w:r>
    </w:p>
    <w:p w14:paraId="7B6F5B9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16.3.2 行为观察</w:t>
      </w:r>
    </w:p>
    <w:p w14:paraId="1EE34C2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注意观察人员的行为举止。如果有人神色慌张、眼神游离、行为鬼鬼祟祟，要重点关注。检查是否有人员携带可能干扰赛事秩序的物品，如超大的扩音设备（可能会制造噪音干扰比赛指令）、未经许可的宣传横幅（可能涉及违规广告或不良信息）等。</w:t>
      </w:r>
    </w:p>
    <w:p w14:paraId="23CCC61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16.3.3 违禁物品排查</w:t>
      </w:r>
    </w:p>
    <w:p w14:paraId="1D149CC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严禁易燃易爆物品，如汽油、酒精等。禁止携带管制刀具等危险器具。限制大型箱包入场，可能会隐藏危险物品。</w:t>
      </w:r>
    </w:p>
    <w:p w14:paraId="55E2353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p>
    <w:p w14:paraId="38FFC3F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17 礼宾服务</w:t>
      </w:r>
    </w:p>
    <w:p w14:paraId="7699FC9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17.1 嘉宾范围</w:t>
      </w:r>
    </w:p>
    <w:p w14:paraId="27269AD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政府官员：包括国家及省级政府的领导、当地政府分管领导、体育部门领导等，他们出席赛事对于提升赛事规格、展现政府对体育事业的支持至关重要，通常参与赛事开幕式、颁奖仪式等关键环节。</w:t>
      </w:r>
    </w:p>
    <w:p w14:paraId="1E4CA26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赞助商代表：为赛事提供资金、物资等支持的企业代表，是赛事顺利举办的经济保障，在赛事过程中享有一定的专属权益，如贵宾观赛区、品牌曝光机会等。</w:t>
      </w:r>
    </w:p>
    <w:p w14:paraId="34F26D5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国际友人及友好城市代表团：若赛事具有一定国际影响力，吸引国外龙舟队伍参赛，相应国家或地区的驻华使领馆人员、友好城市体育官员等可能前来观摩交流，促进国际体育文化交流合作。</w:t>
      </w:r>
    </w:p>
    <w:p w14:paraId="586E339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体育界知名人士：奥运会冠军、亚运会冠军、知名的龙舟运动员、知名体育教练、体育评论员等，他们凭借专业知识和影响力，可为赛事增添关注度，参与赛事解说、运动员交流等活动。</w:t>
      </w:r>
    </w:p>
    <w:p w14:paraId="6E89A5C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行业协会专家：龙舟协会骨干成员、水上运动研究专家，负责对赛事技术规范、裁判工作进行指导监督，保障赛事专业性、公正性。</w:t>
      </w:r>
    </w:p>
    <w:p w14:paraId="76E9BE0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17.2 礼宾服务</w:t>
      </w:r>
    </w:p>
    <w:p w14:paraId="68BA972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17.2.1接待流程标准化</w:t>
      </w:r>
    </w:p>
    <w:p w14:paraId="78DB9F3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在机场、车站等交通枢纽设立专门接待点，配备精通外语和熟悉赛事流程的志愿者，手持指示牌迎接嘉宾，协助办理行李托运、提取等手续。</w:t>
      </w:r>
    </w:p>
    <w:p w14:paraId="52D0B13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嘉宾抵达赛事场地后，由专人引导至贵宾休息区，提供茶歇、赛事资料及纪念品，介绍赛事日程安排、场地设施等基本信息。</w:t>
      </w:r>
    </w:p>
    <w:p w14:paraId="5CD4143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17.2.2专属陪同服务</w:t>
      </w:r>
    </w:p>
    <w:p w14:paraId="7D8AF4C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为重要嘉宾安排一对一陪同人员，全程跟随，随时满足嘉宾需求，如安排临时会议、采访，解答赛事相关疑问。陪同人员提前熟悉嘉宾背景、喜好，提供个性化服务。</w:t>
      </w:r>
    </w:p>
    <w:p w14:paraId="1ECDB10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17.2.3礼仪形象展示</w:t>
      </w:r>
    </w:p>
    <w:p w14:paraId="1F5B05C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选拔培训专业礼仪人员，统一着装，妆容得体，在嘉宾接待、颁奖仪式等场合展现优雅姿态、规范礼仪，如引导手势、微笑问候、颁奖流程等细节，彰显龙舟赛事文化内涵。</w:t>
      </w:r>
    </w:p>
    <w:p w14:paraId="11E53CA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17.3 交通服务</w:t>
      </w:r>
    </w:p>
    <w:p w14:paraId="520F7AA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17.3.1贵宾专车接送</w:t>
      </w:r>
    </w:p>
    <w:p w14:paraId="5190A71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根据嘉宾行程，提前调配豪华轿车、商务车等，车辆保持整洁干净，车内配备饮用水、赛事宣传资料、充电设备等。司机经验丰富，熟悉城市道路与赛事场地周边交通状况，确保准点接送。</w:t>
      </w:r>
    </w:p>
    <w:p w14:paraId="3D35F0C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17.3.2赛事场地交通疏导</w:t>
      </w:r>
    </w:p>
    <w:p w14:paraId="33E76C9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在赛事场地周边设置贵宾专用通道，与普通观众通道分离，减少拥堵，安排交警、安保人员指挥交通，保障嘉宾车辆快速、顺畅通行，确保嘉宾按时抵达活动现场。</w:t>
      </w:r>
    </w:p>
    <w:p w14:paraId="5083045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17.3.3应急交通预案</w:t>
      </w:r>
    </w:p>
    <w:p w14:paraId="059B3B1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考虑到可能出现的交通意外、恶劣天气等突发情况，准备备用车辆，随时待命，并与交通部门保持密切联系，及时获取路况信息，灵活调整行车路线。</w:t>
      </w:r>
    </w:p>
    <w:p w14:paraId="7A04ADF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17.4餐饮服务</w:t>
      </w:r>
    </w:p>
    <w:p w14:paraId="5A7B2D1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17.4.1定制菜单</w:t>
      </w:r>
    </w:p>
    <w:p w14:paraId="6A0AC9E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依据嘉宾地域、饮食习惯差异，设计多元菜单，涵盖中式佳肴、西式料理、本地特色美食，食材新鲜、烹饪精细，兼顾营养均衡与口味喜好。</w:t>
      </w:r>
    </w:p>
    <w:p w14:paraId="6956889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17.4.2餐饮环境优化</w:t>
      </w:r>
    </w:p>
    <w:p w14:paraId="290319F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在贵宾餐厅营造优雅、舒适就餐氛围，合理布置餐桌、装饰，配备专业服务人员，上菜顺序规范、速度适中，及时清理桌面，确保嘉宾用餐体验良好。</w:t>
      </w:r>
    </w:p>
    <w:p w14:paraId="2F2D5FC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17.4.3食品安全保障</w:t>
      </w:r>
    </w:p>
    <w:p w14:paraId="0AE82B5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严格把控食材采购源头，选择正规供应商，加强食品加工过程监管，落实留样制度，安排专人负责食品安全检查，防止食物中毒等问题发生，确保嘉宾饮食健康。</w:t>
      </w:r>
    </w:p>
    <w:p w14:paraId="01D4D4A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17.5环境清洁服务</w:t>
      </w:r>
    </w:p>
    <w:p w14:paraId="62D701C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17.5.1贵宾区域深度清洁</w:t>
      </w:r>
    </w:p>
    <w:p w14:paraId="5A37A43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赛前对贵宾休息区、观赛区、餐厅、卫生间等重点区域进行全面深度清洁，包括地面打蜡、家具擦拭、卫生间消毒除臭，赛事期间定时巡检，随时清理垃圾、污渍，维持环境整洁。</w:t>
      </w:r>
    </w:p>
    <w:p w14:paraId="047F03C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17.5.2赛事场地周边环境卫生维护</w:t>
      </w:r>
    </w:p>
    <w:p w14:paraId="0E1B9D1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增加赛事场地周边道路、停车场、绿化带等区域保洁频次，安排垃圾清运车辆及时转运垃圾，设置足够数量垃圾桶并合理分布，确保整体环境干净、美观，给嘉宾留下良好印象。</w:t>
      </w:r>
    </w:p>
    <w:p w14:paraId="2963800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17.6安保措施</w:t>
      </w:r>
    </w:p>
    <w:p w14:paraId="66C1E70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17.6.1身份核查与安检</w:t>
      </w:r>
    </w:p>
    <w:p w14:paraId="7983FC8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在赛事各入口设置贵宾专用通道，配备先进安检设备，对嘉宾及随行人员进行严格身份核查、安检，禁止携带危险物品入场，确保人员安全与赛事秩序。</w:t>
      </w:r>
    </w:p>
    <w:p w14:paraId="51D48B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17.6.2重点区域安保布控</w:t>
      </w:r>
    </w:p>
    <w:p w14:paraId="542E107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加强贵宾休息区、观赛区、停车场等关键部位安保力量，安排安保人员 24 小时值守巡逻，安装监控摄像头，实现全方位监控，防范突发事件。</w:t>
      </w:r>
    </w:p>
    <w:p w14:paraId="3953B91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17.6.3应急处置预案</w:t>
      </w:r>
    </w:p>
    <w:p w14:paraId="74346F8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制定针对火灾、暴恐袭击、人员突发疾病等紧急情况的应急预案，定期组织安保人员演练，配备急救设备、消防器材，确保在突发事件发生时能迅速响应、有效处置。</w:t>
      </w:r>
    </w:p>
    <w:p w14:paraId="17AE762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17.7技术信息服务</w:t>
      </w:r>
    </w:p>
    <w:p w14:paraId="3BD5C54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17.7.1赛事信息实时推送</w:t>
      </w:r>
    </w:p>
    <w:p w14:paraId="2738A7A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为嘉宾定制专属赛事信息系统，通过手机 APP 或电子显示屏，实时推送赛事赛程、成绩、龙舟队伍介绍、参赛运动员资料等信息，方便嘉宾了解赛事动态。</w:t>
      </w:r>
    </w:p>
    <w:p w14:paraId="222D41E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17.7.2高速无线网络覆盖</w:t>
      </w:r>
    </w:p>
    <w:p w14:paraId="3B4C349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在贵宾区域全面覆盖高速无线网络，保障嘉宾随时上网查阅资料、处理公务或分享赛事精彩瞬间，安排技术人员现场值守，及时解决网络故障。</w:t>
      </w:r>
    </w:p>
    <w:p w14:paraId="27F3580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17.7.3技术讲解与支持</w:t>
      </w:r>
    </w:p>
    <w:p w14:paraId="57F8C6C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针对嘉宾对赛事技术细节（如龙舟速度、裁判判罚规则）、直播设备使用等方面的疑问，安排专业技术人员提供讲解、培训，满足嘉宾技术需求。</w:t>
      </w:r>
    </w:p>
    <w:p w14:paraId="598BF79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17.8 医疗服务</w:t>
      </w:r>
    </w:p>
    <w:p w14:paraId="49ACF4E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17.8.1现场医疗站设置</w:t>
      </w:r>
    </w:p>
    <w:p w14:paraId="6DEFE15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在贵宾区域附近设立专门医疗站，配备齐全的急救药品、器材，如除颤仪、氧气瓶、担架等，安排具有丰富急救经验的医护人员值守，确保能第一时间处理嘉宾突发疾病、受伤情况。</w:t>
      </w:r>
    </w:p>
    <w:p w14:paraId="2D6975F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17.8.2医疗救护绿色通道</w:t>
      </w:r>
    </w:p>
    <w:p w14:paraId="0DCA0C1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与周边医院建立合作，开通医疗救护绿色通道，一旦嘉宾病情严重需转诊，确保救护车快速通行，医院提前做好接诊准备，实现无缝对接救治。</w:t>
      </w:r>
    </w:p>
    <w:p w14:paraId="1265F94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17.8.3健康咨询服务</w:t>
      </w:r>
    </w:p>
    <w:p w14:paraId="463E0BD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赛事期间，为嘉宾提供健康咨询服务，如运动损伤预防、常见疾病防治知识普及，发放健康宣传资料，关心嘉宾身体健康状况。</w:t>
      </w:r>
    </w:p>
    <w:p w14:paraId="4A2C190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66F2006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18 证件管理</w:t>
      </w:r>
    </w:p>
    <w:p w14:paraId="0BE9D79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18.1 参赛人员证件</w:t>
      </w:r>
    </w:p>
    <w:p w14:paraId="20746E5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18.1.1 运动员证</w:t>
      </w:r>
    </w:p>
    <w:p w14:paraId="3BA5349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证件内容包含运动员姓名、性别、年龄、照片、所属队伍名称、职务等基本信息。照片要求清晰，能够准确识别运动员本人。</w:t>
      </w:r>
    </w:p>
    <w:p w14:paraId="111239F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证件制作与发放由赛事组织方统一制作，在参赛队伍报到时发放。制作过程中要严格核对运动员的身份信息，确保信息无误。</w:t>
      </w:r>
    </w:p>
    <w:p w14:paraId="79A75F5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运动员在比赛期间必须随身携带运动员证，在检录、登舟以及比赛后的成绩确认等环节都要出示证件。</w:t>
      </w:r>
    </w:p>
    <w:p w14:paraId="690E298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18.1.2 教练证</w:t>
      </w:r>
    </w:p>
    <w:p w14:paraId="632C549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证件内容包括教练姓名、所属队伍、联系方式等信息。</w:t>
      </w:r>
    </w:p>
    <w:p w14:paraId="6F08A25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证件制作与发放由赛事组织方负责，教练证的制作要根据教练提交的资质证明材料进行信息录入。</w:t>
      </w:r>
    </w:p>
    <w:p w14:paraId="0168DF7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教练在比赛现场指挥训练、参与赛事相关会议等场合需要出示教练证。</w:t>
      </w:r>
    </w:p>
    <w:p w14:paraId="2E37FF6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18.2 工作人员证件</w:t>
      </w:r>
    </w:p>
    <w:p w14:paraId="3D3CD72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18.2.1 裁判证</w:t>
      </w:r>
    </w:p>
    <w:p w14:paraId="023BD6E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裁判证上有裁判姓名、级别、执法项目（如起点裁判、赛道裁判等）等信息。</w:t>
      </w:r>
    </w:p>
    <w:p w14:paraId="2F7CC20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证件制作与发放由赛事组织方负责，发放时要确保裁判熟悉比赛规则和自己的职责范围。裁判在比赛现场执法时必须佩戴裁判证。</w:t>
      </w:r>
    </w:p>
    <w:p w14:paraId="5CB71AA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18.2.1 志愿者证</w:t>
      </w:r>
    </w:p>
    <w:p w14:paraId="1721815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志愿者证包含志愿者姓名、服务岗位（如引导观众、协助物资管理等）、所属志愿者团队等信息。</w:t>
      </w:r>
    </w:p>
    <w:p w14:paraId="2EE28D8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志愿者培训合格后，由赛事组织方发放。制作过程中可以添加一些志愿者服务的口号或标志，增强志愿者的荣誉感。</w:t>
      </w:r>
    </w:p>
    <w:p w14:paraId="2826C55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志愿者在服务期间要佩戴志愿者证，方便观众和其他工作人员识别。在提供服务过程中，如引导观众入座、回答咨询等，志愿者证可以增加服务的可信度。</w:t>
      </w:r>
    </w:p>
    <w:p w14:paraId="3F49A48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18.3 嘉宾证件</w:t>
      </w:r>
    </w:p>
    <w:p w14:paraId="266E0ED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18.3.1 贵宾证</w:t>
      </w:r>
    </w:p>
    <w:p w14:paraId="58D5D30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贵宾证上有嘉宾姓名、身份（如赞助商代表、政府官员等）、座位区域等信息。对于一些重要嘉宾，还可以添加个性化的标识，如 VIP 字样等。</w:t>
      </w:r>
    </w:p>
    <w:p w14:paraId="37D37B1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根据赛事邀请嘉宾名单制作和发放。发放时要安排专人负责，确保贵宾感受到尊重。</w:t>
      </w:r>
    </w:p>
    <w:p w14:paraId="797D6AB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贵宾在进入赛场贵宾区域、参加颁奖仪式等场合需要出示贵宾证。这有助于提供专属的服务，保障贵宾的权益。</w:t>
      </w:r>
    </w:p>
    <w:p w14:paraId="51B4104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18.3.2 普通嘉宾证</w:t>
      </w:r>
    </w:p>
    <w:p w14:paraId="6C7D77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证件内容包括嘉宾姓名、单位等基本信息，以及允许进入的观赛区域等内容。</w:t>
      </w:r>
    </w:p>
    <w:p w14:paraId="70FA286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按照嘉宾邀请范围制作发放。发放过程中要告知嘉宾证件的使用范围和注意事项。</w:t>
      </w:r>
    </w:p>
    <w:p w14:paraId="47AD1DB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普通嘉宾在进入赛场规定的观赛区域时出示证件。</w:t>
      </w:r>
    </w:p>
    <w:p w14:paraId="656475C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18.4 证件管理的通用要求</w:t>
      </w:r>
    </w:p>
    <w:p w14:paraId="6AE0A23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18.4.1 安全保障</w:t>
      </w:r>
    </w:p>
    <w:p w14:paraId="094435A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所有证件都应该具备一定的防伪措施，如防伪水印、特殊的编码等，防止证件被伪造。同时，要建立证件挂失和补办机制。如果证件丢失，持证人应及时向证件管理部门报告，管理部门核实身份后进行补办。</w:t>
      </w:r>
    </w:p>
    <w:p w14:paraId="6D3C0FA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18.4.2 严格检查</w:t>
      </w:r>
    </w:p>
    <w:p w14:paraId="2E3BC25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在赛场入口、重要区域入口（如颁奖仪式现场、运动员休息区等）设置证件检查点。工作人员要严格核对证件信息与持证人是否相符，对于不符合要求的情况，如证件过期、信息不符等，禁止其进入相关区域。</w:t>
      </w:r>
    </w:p>
    <w:p w14:paraId="1105BC8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51A1969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19 餐饮服务</w:t>
      </w:r>
    </w:p>
    <w:p w14:paraId="6E7086C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19.1 餐饮服务对象</w:t>
      </w:r>
    </w:p>
    <w:p w14:paraId="4C422C6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餐饮服务对象包括参赛运动员、教练员、领队、裁判、志愿者、安保人员等工作人员。运动员在赛前、赛中及赛后需要及时补充能量，以维持高强度的体力消耗。赛事工作人员用餐时间相对固定但短暂，需要能快速进食的餐食。</w:t>
      </w:r>
    </w:p>
    <w:p w14:paraId="6D289A0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此外，观赛观众来自不同年龄、地域和饮食习惯的观众，部分观众可能会选择在赛场内就餐，他们对于餐饮的口味、种类需求较为多样化。</w:t>
      </w:r>
    </w:p>
    <w:p w14:paraId="19BEC17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19.2 餐饮卫生标准</w:t>
      </w:r>
    </w:p>
    <w:p w14:paraId="1900D2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食材采购须从正规供应商处采购食材，确保食材来源可追溯。所有肉类、蔬菜、海鲜等原材料均需具备检验检疫合格证明，严禁采购变质、过期、三无产品。</w:t>
      </w:r>
    </w:p>
    <w:p w14:paraId="4B88A8D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食品加工时，厨房环境应符合国家食品卫生标准，拥有完善的通风、消毒设施。厨师及帮厨人员需持健康证上岗，严格遵守食品加工操作规范，做到生熟分开，防止交叉污染。</w:t>
      </w:r>
    </w:p>
    <w:p w14:paraId="6FCB469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食品储存设立专门的食品储存仓库，按照食品类别、保质期分类存放。冷藏食品温度需控制在 0 - 8℃，冷冻食品温度保持在 -18℃以下，干货食品要置于干燥通风处，防止受潮发霉。</w:t>
      </w:r>
    </w:p>
    <w:p w14:paraId="4FD643C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餐具使用后需经过高温消毒、化学消毒或紫外线消毒等多种方式处理，消毒后的餐具应存放在专用的保洁柜内，避免二次污染。</w:t>
      </w:r>
    </w:p>
    <w:p w14:paraId="5FA2EC9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19.3 供餐时间、地点、方式</w:t>
      </w:r>
    </w:p>
    <w:p w14:paraId="63FD1E5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19.3.1 供餐时间</w:t>
      </w:r>
    </w:p>
    <w:p w14:paraId="4418688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运动员赛前 2 - 3 小时提供适量易消化的餐食，帮助运动员储备能量；赛后 1 小时内提供富含蛋白质、碳水化合物的恢复餐。</w:t>
      </w:r>
    </w:p>
    <w:p w14:paraId="7ED64BE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工作人员根据不同岗位的工作时间安排，在工作间隙供餐。</w:t>
      </w:r>
    </w:p>
    <w:p w14:paraId="7405CCB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观众从赛事开场至中场休息，以及中场休息至赛事结束，均可提供餐饮服务，满足观众随时就餐的需求。</w:t>
      </w:r>
    </w:p>
    <w:p w14:paraId="2C4DC1B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19.3.2 供餐地点</w:t>
      </w:r>
    </w:p>
    <w:p w14:paraId="69A5797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运动员：如果上午和下午比赛衔接时间比较紧，可在运动员休息区设置专用餐饮区，方便运动员就餐后迅速投入比赛或休息。若时间充裕，可返回酒店用餐。</w:t>
      </w:r>
    </w:p>
    <w:p w14:paraId="111C88A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工作人员：根据岗位分布，在裁判工作区、志愿者服务站等附近设置供餐点，确保工作人员不用长途跋涉就能就餐。若时间充裕，裁判员可返回酒店用餐。</w:t>
      </w:r>
    </w:p>
    <w:p w14:paraId="79D1F08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观众：在赛场观众看台周边设置多个餐饮售卖亭，均匀分布，方便观众就近购买。</w:t>
      </w:r>
    </w:p>
    <w:p w14:paraId="72956C8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19.3.3供餐方式</w:t>
      </w:r>
    </w:p>
    <w:p w14:paraId="2EBA316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运动员：采用自助餐形式，提供多种营养搭配的食物，让运动员自主选择。同时，配备专业营养师，随时为运动员提供饮食建议。</w:t>
      </w:r>
    </w:p>
    <w:p w14:paraId="6694109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工作人员：以盒饭形式为主，根据不同岗位的工作强度和特点，设计不同的盒饭套餐，如高强度体力劳动的安保人员盒饭中加大肉类比重，脑力劳动为主的裁判盒饭中增加蔬菜、水果比例。</w:t>
      </w:r>
    </w:p>
    <w:p w14:paraId="6A10459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观众：售卖亭提供现做小吃、饮料、包装食品等多种形式的餐饮，观众可现金、刷卡或使用移动支付购买。</w:t>
      </w:r>
    </w:p>
    <w:p w14:paraId="4CE6BD9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19.4 供餐禁忌标准</w:t>
      </w:r>
    </w:p>
    <w:p w14:paraId="352F8F0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宗教禁忌：充分尊重不同宗教信仰人群的饮食习惯，如为穆斯林运动员、观众提供清真食品，食品加工过程遵循清真规范，单独存放、单独加工。</w:t>
      </w:r>
    </w:p>
    <w:p w14:paraId="216910F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食物过敏禁忌：在点餐区、餐饮售卖亭醒目位置张贴食物成分表，提醒有食物过敏史的人员注意。对于已知的过敏食物，如花生、海鲜等，在运动员自助餐区、工作人员盒饭中避免使用，观众点餐时可要求替换。</w:t>
      </w:r>
    </w:p>
    <w:p w14:paraId="21D0162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饮食健康禁忌：考虑到运动员比赛期间的身体状况，禁止提供高油脂、高糖、高盐的垃圾食品，如炸鸡、薯片、碳酸饮料等。工作人员盒饭也尽量减少此类食物，以保障他们的健康，维持赛事高效运转。</w:t>
      </w:r>
    </w:p>
    <w:p w14:paraId="4662EAF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405C2DB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20 住宿服务</w:t>
      </w:r>
    </w:p>
    <w:p w14:paraId="5F5AAD0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20.1 住宿安排原则</w:t>
      </w:r>
    </w:p>
    <w:p w14:paraId="5295003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就近原则：优先选择距离比赛场地较近的住宿地点，方便参赛选手、工作人员及观众往返，减少路途奔波，节省交通时间，确保能按时参与赛事各项活动。</w:t>
      </w:r>
    </w:p>
    <w:p w14:paraId="4EDE1AC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分类安排：根据不同人员类别进行区分，如为参赛队伍提供集中住宿区域，便于队伍管理与团队协作；为赛事官员、裁判安排相对安静、独立且便于工作协调的住宿环境；为观众推荐周边不同档次、多样化的住宿选择，满足其个性化需求。</w:t>
      </w:r>
    </w:p>
    <w:p w14:paraId="7C86F2D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20.2 安全要求</w:t>
      </w:r>
    </w:p>
    <w:p w14:paraId="0CB6742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建筑安全：住宿建筑需通过正规消防验收，配备齐全且能正常使用的消防设施，包括灭火器、消火栓、烟雾报警器等，消防通道保持畅通无阻，严禁堆放杂物。定期对建筑结构进行安全检查，排查墙体裂缝、屋顶漏水等隐患，确保在赛事期间住宿安全稳定。</w:t>
      </w:r>
    </w:p>
    <w:p w14:paraId="583EEE9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人员安全：各住宿点设置 24 小时安保值班岗，对进出人员进行严格登记与身份核实，防止无关人员混入。在公共区域安装监控摄像头，覆盖楼道、电梯、大堂等关键位置，监控资料保存不少于20天，以便追溯事件。同时，为住宿人员提供安全知识宣传手册，告知紧急逃生路线、防盗防骗要点等。</w:t>
      </w:r>
    </w:p>
    <w:p w14:paraId="5C845E4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食品安全：若住宿提供餐饮服务，餐饮厨房需符合卫生标准，食材采购源头可追溯，严格把控食品加工流程，做到生熟分开、餐具消毒，每日对食品进行留样，以备检验，预防食物中毒事件发生。</w:t>
      </w:r>
    </w:p>
    <w:p w14:paraId="1744DC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20.3 卫生条件</w:t>
      </w:r>
    </w:p>
    <w:p w14:paraId="45691AF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客房卫生：房间每日进行全面清洁，更换床单、被套、枕套等床上用品，做到一客一换；擦拭家具表面、清洁地面，确保无灰尘、污渍；卫生间进行深度消毒，包括马桶、浴缸、洗手台等，保证无异味、细菌滋生。</w:t>
      </w:r>
    </w:p>
    <w:p w14:paraId="7F5B6A0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公共区域卫生：大堂、走廊、楼梯等公共区域定时清扫，垃圾及时清运；电梯轿厢每日消毒，扶手、按钮等频繁接触部位增加清洁频次；公共卫生间配备充足的洗手液、卫生纸，保持通风良好，地面干爽，为住宿人员营造整洁舒适的环境。</w:t>
      </w:r>
    </w:p>
    <w:p w14:paraId="317D8F8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20.4 基础设施</w:t>
      </w:r>
    </w:p>
    <w:p w14:paraId="09A613D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住宿设施：房间内配备舒适的床铺，保证良好睡眠质量，桌椅齐全，方便人员休息、办公；空调正常运行，调节室内温度；提供热水供应系统，满足洗漱、沐浴需求，水压稳定，水温适宜。</w:t>
      </w:r>
    </w:p>
    <w:p w14:paraId="7E7AA7C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网络设施：实现无线网络全覆盖，带宽满足多人同时在线使用需求，确保参赛选手、工作人员能顺畅进行赛事信息查询、资料传输、线上沟通等操作，不出现卡顿、掉线情况。</w:t>
      </w:r>
    </w:p>
    <w:p w14:paraId="3B4E440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配套设施：酒店具备洗衣房，提供自助洗衣服务；有小型超市或自动售货机，方便购买生活用品；设置适量停车位，满足自驾人员停车需求，若停车位不足，提前协调周边停车场资源，保障停车便利。</w:t>
      </w:r>
    </w:p>
    <w:p w14:paraId="4EBD7AB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20.5 交通便利条件</w:t>
      </w:r>
    </w:p>
    <w:p w14:paraId="3FDC067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公共交通：住宿点周边500米范围内有公交站点，公交线路覆盖比赛场地及城市主要枢纽，如火车站、汽车站等，运营时间能配合赛事日程，确保早出晚归的人员均有公交可乘。同时，了解附近地铁建设规划，若有在建线路，提前告知住宿人员未来交通改善情况。</w:t>
      </w:r>
    </w:p>
    <w:p w14:paraId="5878C08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专线交通：赛事期间，根据住宿人员集中区域，安排往返比赛场地的专线班车，制定详细的班车时刻表，张贴在住宿点显眼位置，班车准点发车，配备专人跟车，维持乘车秩序，保障人员快速、便捷抵达赛场。</w:t>
      </w:r>
    </w:p>
    <w:p w14:paraId="4DF4179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交通引导：在住宿点大堂设置交通指示牌，标明前往公交站、专线班车乘车点、周边主干道等方向；为自驾人员提供详细的交通地图，标注比赛场地、住宿点、附近加油站、维修点等关键信息，方便出行导航。</w:t>
      </w:r>
    </w:p>
    <w:p w14:paraId="7DF11CE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4B66E66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21 交通服务</w:t>
      </w:r>
    </w:p>
    <w:p w14:paraId="6141F2F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21.1 车辆需求管理</w:t>
      </w:r>
    </w:p>
    <w:p w14:paraId="2B5E560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21.1.1赛前调研：提前与本地参赛队伍、工作人员、志愿者组织、赞助商及预计观赛人数较多的团体沟通，了解他们的交通需求，包括车辆类型（大巴、中巴、小车等）、数量、使用时段（抵达时间、离开时间）。对于外地外地参赛队伍，根据参赛人数、抵达时间、离开时间、以及参赛时间配备专车（大巴车、中巴车）进行点对点服务。</w:t>
      </w:r>
    </w:p>
    <w:p w14:paraId="182D3E6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21.1.2动态调整：根据赛事日程变化、天气情况等因素，实时更新车辆需求预估，确保交通运力既满足需求又不造成浪费。</w:t>
      </w:r>
    </w:p>
    <w:p w14:paraId="648489B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21.2 车辆通行区域</w:t>
      </w:r>
    </w:p>
    <w:p w14:paraId="5808D9E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21.2.1 专属通道设置：在赛场周边道路规划 “龙舟赛事专用通道”，用明显标识牌标注，确保参赛运动员、工作人员、紧急救援车辆等能快速抵达赛场核心区，通道在赛事关键时段（如开幕式）实行交通管制，仅供许可车辆通行。</w:t>
      </w:r>
    </w:p>
    <w:p w14:paraId="38F196A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21.2.2 分流引导路线：对于普通观赛车辆，依据赛场周边路网，设计多条分流引导路线，引导其从不同方向前往停车场，避免车流集中在少数路段造成拥堵，沿途设置清晰的指路标志，每隔一定距离（如 500 米）更新一次剩余路程提示。</w:t>
      </w:r>
    </w:p>
    <w:p w14:paraId="73539A7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21.3 车辆注册管理</w:t>
      </w:r>
    </w:p>
    <w:p w14:paraId="22A41F7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21.3.1 分类注册系统：搭建线上车辆注册平台，分为参赛车辆、工作车辆、志愿者车辆、观赛大巴等不同类别，要求车主或组织负责人填写详细信息，包括车牌号、车辆所属单位、联系人、联系方式、预计到场时间、通行需求时段。</w:t>
      </w:r>
    </w:p>
    <w:p w14:paraId="285F64D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21.3.3 审核与核发：安排专人对注册信息进行审核，通过审核的车辆发放电子通行证或纸质通行证，通行证包含车辆类别、有效时段、可通行区域等信息，电子通行证以二维码或短信形式发送至车主，现场安保凭通行证快速识别放行。</w:t>
      </w:r>
    </w:p>
    <w:p w14:paraId="1F5FF67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21.4 车辆停放管理</w:t>
      </w:r>
    </w:p>
    <w:p w14:paraId="0797555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21.4.1停车场规划：依据赛场周边空地、闲置场地，规划多个停车场，包括大型大巴停车场、小型车停车场，用不同颜色标识区分，预估各停车场容量，合理分配给不同类型车辆，如靠近赛场入口的优先安排工作车辆、参赛运动员车辆。</w:t>
      </w:r>
    </w:p>
    <w:p w14:paraId="0D02029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21.4.2停车引导服务：在赛场周边主要路口、通往停车场道路设置引导人员，身着醒目反光背心，手持指示牌，引导车辆前往指定停车场；停车场内部划分为停车区域、通道，用标线清晰区分，确保车辆停放有序，提高空间利用率，避免车辆相互刮蹭。</w:t>
      </w:r>
    </w:p>
    <w:p w14:paraId="1479DEB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21.5 车辆运行区域划分</w:t>
      </w:r>
    </w:p>
    <w:p w14:paraId="14FD96A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21.5.1核心管制区：设立核心管制区，禁止未经许可的社会车辆进入，只有持有特定区域通行证的车辆（如赛事转播车、医疗急救车、VIP 接待车）在安检后可通行，区内车速严格限制，保障人员安全。</w:t>
      </w:r>
    </w:p>
    <w:p w14:paraId="59D3918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21.5.2缓冲运行区：在核心管制区外设置缓冲运行区，允许注册的工作车辆、志愿者车辆短时间停靠装卸物资、接送人员，但停留时间不得超过规定时长，此区域设置临时停靠点标识，加强巡逻监管，防止长时间违停。</w:t>
      </w:r>
    </w:p>
    <w:p w14:paraId="2C26C1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21.5.3外围流动区：最外侧为外围流动区，供观赛车辆临时上下客、缓慢通行寻找停车场，交警在此区域疏导交通，确保车流顺畅，避免出现死锁拥堵，与缓冲运行区、核心管制区之间通过物理隔离设施（如水马、隔离栏）隔开。</w:t>
      </w:r>
    </w:p>
    <w:p w14:paraId="63A958E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21.6 上落客政策</w:t>
      </w:r>
    </w:p>
    <w:p w14:paraId="09F02CC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21.6.1指定上落客点设置：在赛场周边不同方位设置多个观赛车辆临时上落客点，靠近入口且不影响交通主干道运行，用明显标识牌标注，每个上落客点安排志愿者协助乘客快速上下车，引导车辆即停即走，完成上落客流程。</w:t>
      </w:r>
    </w:p>
    <w:p w14:paraId="686DB48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21.6.2特殊人群关怀：针对老弱病残孕等特殊人群，设立专用的、更靠近无障碍通道入口的上落客区域，提供轮椅租赁、人员搀扶等服务，确保特殊人群能便捷、安全地进入赛场观赛。</w:t>
      </w:r>
    </w:p>
    <w:p w14:paraId="42ABC0D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21D14FB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22 医疗卫生服务</w:t>
      </w:r>
    </w:p>
    <w:p w14:paraId="27C5BB8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 医疗站点设置</w:t>
      </w:r>
    </w:p>
    <w:p w14:paraId="75C4B43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22.1.1运动员医疗站</w:t>
      </w:r>
    </w:p>
    <w:p w14:paraId="53389C4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设置应靠近运动员检录区与休息区，确保运动员能在短时间内到达。配备专业运动医学医生、护士若干，急救药品（如止痛、止血、扭伤处理药品等）、运动损伤急救设备（如冷敷袋、热敷包、弹性绷带、夹板等），按摩床用于赛后肌肉放松恢复。</w:t>
      </w:r>
    </w:p>
    <w:p w14:paraId="22357F1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22.1.2观众医疗站</w:t>
      </w:r>
    </w:p>
    <w:p w14:paraId="06D28CB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均匀分布于观众看台周边，人流密集区域重点设置。配备全科医生、护士值班，常见药品（感冒药、退烧药、肠胃药等）、基础急救器材（血压计、血糖仪、氧气瓶等），应对观众突发疾病。</w:t>
      </w:r>
    </w:p>
    <w:p w14:paraId="6B87404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22.1.3 临时医疗站</w:t>
      </w:r>
    </w:p>
    <w:p w14:paraId="3E50EF6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设置在比赛水域周边，当水上出现突发状况有运动员落水受伤等情况时，快速响应。急救人员携带水上救援担架、救生圈等急救与水上救援结合的设备，随时待命出发救援。</w:t>
      </w:r>
    </w:p>
    <w:p w14:paraId="5F7595B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22.2 现场医疗和急救转运服务</w:t>
      </w:r>
    </w:p>
    <w:p w14:paraId="0C342F7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22.2.1现场医疗：医疗团队随时在各站点待命，对伤病员进行初步诊断、紧急救治，如伤口清创、心肺复苏等操作。配备移动医疗设备车，可在场地内快速机动，车内具备小型手术室功能，应对严重创伤需紧急手术情况。</w:t>
      </w:r>
    </w:p>
    <w:p w14:paraId="52F185F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22.2.2急救转运：与当地急救中心联动，赛前确定转运路线，确保救护车畅通无阻。配备专业担架员，将重伤员平稳转运至救护车，送往附近定点医院进一步救治。</w:t>
      </w:r>
    </w:p>
    <w:p w14:paraId="46B6A9C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22.3 食品卫生监督监测</w:t>
      </w:r>
    </w:p>
    <w:p w14:paraId="5E50F9B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赛前对赛场周边餐饮摊位、售卖点进行全面检查，核查食品经营许可证、从业人员健康证。比赛期间每日抽检食品样本，检测微生物、添加剂等指标，防止食物中毒事件。</w:t>
      </w:r>
    </w:p>
    <w:p w14:paraId="2B720F5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22.4 公共场所卫生监督监测</w:t>
      </w:r>
    </w:p>
    <w:p w14:paraId="497DB58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对观众看台、卫生间、休息区等公共场所定期检测空气质量（含甲醛、细菌总数等指标）、环境卫生状况。督促保洁人员及时清理垃圾、消毒公共设施，保障环境整洁卫生。</w:t>
      </w:r>
    </w:p>
    <w:p w14:paraId="0847739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22.5 饮用水卫生监督监测</w:t>
      </w:r>
    </w:p>
    <w:p w14:paraId="7FF1740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检测赛场直饮水、桶装水等供水点水质，包括酸碱度、余氯、重金属等参数。确保水源安全，张贴水质合格标识，让运动员、观众放心饮用。</w:t>
      </w:r>
    </w:p>
    <w:p w14:paraId="1C2C1EC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22.6 传染病防控</w:t>
      </w:r>
    </w:p>
    <w:p w14:paraId="1657CCD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赛前收集参赛人员、工作人员健康信息，排查发热、咳嗽等传染病症状人员。对赛场进行全面消毒，特别是公共接触区域。</w:t>
      </w:r>
    </w:p>
    <w:p w14:paraId="756BB8C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赛中各医疗站点设置发热筛查点，对疑似传染病患者隔离诊断。加强宣传传染病防控知识，引导人员做好个人防护（如戴口罩、勤洗手）。</w:t>
      </w:r>
    </w:p>
    <w:p w14:paraId="14838DB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22.7 紧急用药政策</w:t>
      </w:r>
    </w:p>
    <w:p w14:paraId="3EA5E36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建立绿色通道，与周边药房、药企合作，紧急情况下可快速调配稀缺药品。赛前根据常见伤病情况，储备足够的应急药品，保障赛事期间用药需求。</w:t>
      </w:r>
    </w:p>
    <w:p w14:paraId="338945E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22.8 公共卫生事件防控政策</w:t>
      </w:r>
    </w:p>
    <w:p w14:paraId="00DAB8A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制定应急预案，明确不同类型公共卫生事件（如传染病爆发、食物中毒聚集性事件等）的响应流程、责任分工。一旦发生公共卫生事件，及时通过赛场广播、官方渠道向运动员、观众发布准确信息，避免恐慌。</w:t>
      </w:r>
    </w:p>
    <w:p w14:paraId="01D9784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22.9 临时隔离点配置</w:t>
      </w:r>
    </w:p>
    <w:p w14:paraId="143E39E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地址选择通风良好、相对独立区域，远离人群密集区，如赛场角落的空旷房间或帐篷。配备隔离床、桌椅、消毒用品、防护用具，保障隔离人员基本生活需求与卫生条件。</w:t>
      </w:r>
    </w:p>
    <w:p w14:paraId="37C6A3A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22.10 临时隔离管理措施</w:t>
      </w:r>
    </w:p>
    <w:p w14:paraId="5D87DB2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安排专人负责隔离点，对隔离人员进行登记、健康监测，禁止无关人员进出。规范处理隔离人员生活垃圾、医疗垃圾，防止二次污染。</w:t>
      </w:r>
    </w:p>
    <w:p w14:paraId="7B6E8AB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22.11 涉疫信息上报制度</w:t>
      </w:r>
    </w:p>
    <w:p w14:paraId="474EE23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各医疗站点、工作人员发现涉疫异常情况，第一时间向赛事疫情防控负责人报告。按规定时间节点向当地卫生健康部门、疾控中心上报详细信息，包括人员症状、接触史等。</w:t>
      </w:r>
    </w:p>
    <w:p w14:paraId="52CF23A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22.12 公共卫生事件管理指挥体系</w:t>
      </w:r>
    </w:p>
    <w:p w14:paraId="423DE56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成立领导小组，由赛事主办方、卫生健康部门、公安等多部门组成，负责统筹协调防控工作。各部门分工协作，如卫生部门负责医疗救治、疾控部门负责流调消杀、公安部门维护秩序等。</w:t>
      </w:r>
    </w:p>
    <w:p w14:paraId="000CB40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22.13 防疫物资准备</w:t>
      </w:r>
    </w:p>
    <w:p w14:paraId="7855DB2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理清物资清单，储备充足口罩、防护服、护目镜、手套、消毒酒精、洗手液等防护消毒物资。加强物资管理，专人负责物资出入库登记，赛前检查物资有效期、数量，及时补充短缺物资。</w:t>
      </w:r>
    </w:p>
    <w:p w14:paraId="5444E12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0D25147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23 安保服务</w:t>
      </w:r>
    </w:p>
    <w:p w14:paraId="0E5303A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23.1 安保运行区域划分政策</w:t>
      </w:r>
    </w:p>
    <w:p w14:paraId="21C75EF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23.1.1核心比赛区域：包括运动员休息区、检录区、登舟区、赛道、起终点区域、主席台、颁奖区等。此区域设置硬质隔离设施，仅限参赛运动员、裁判员、工作人员凭有效证件进出。在出入口安排专人值守，严格核实身份信息，确保无关人员不得入内。</w:t>
      </w:r>
    </w:p>
    <w:p w14:paraId="36ECD24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23.1.2 观众观赛区</w:t>
      </w:r>
    </w:p>
    <w:p w14:paraId="2F75AC8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根据赛场地形和预计观众人数，合理划分多个观赛区，利用围栏、绳索等进行分区隔离。每个观赛区设置若干出入口，配备充足的安检设备和安保人员，引导观众有序入场、退场。</w:t>
      </w:r>
    </w:p>
    <w:p w14:paraId="20D620B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在观赛区内合理布局通道，确保人员流动顺畅，避免出现拥挤、堵塞现象。同时，预留紧急疏散通道，并设置明显标识，以便在紧急情况下快速疏散观众。</w:t>
      </w:r>
    </w:p>
    <w:p w14:paraId="004F768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23.1.3后勤保障区域</w:t>
      </w:r>
    </w:p>
    <w:p w14:paraId="42F5B68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涵盖医疗救护区、物资存放区、媒体工作区等。对该区域实施封闭管理，凭相应工作证件进出，安保人员定时巡逻，确保区域内设施设备安全及人员正常工作秩序。</w:t>
      </w:r>
    </w:p>
    <w:p w14:paraId="092C280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物资存放区设置专人看守，对进出物资进行详细登记，防止比赛物资被盗或损坏。</w:t>
      </w:r>
    </w:p>
    <w:p w14:paraId="4E9E21A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23.2 巡逻防控、秩序维护</w:t>
      </w:r>
    </w:p>
    <w:p w14:paraId="112334E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23.2.1巡逻安排</w:t>
      </w:r>
    </w:p>
    <w:p w14:paraId="27D4F7A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组建多支巡逻小组，采用徒步巡逻与车辆巡逻相结合的方式。徒步巡逻小组在观众区、周边道路等人员密集和关键区域进行不间断巡逻，重点关注人员动态、治安状况，及时发现并处理纠纷、拥挤等问题。</w:t>
      </w:r>
    </w:p>
    <w:p w14:paraId="4974159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车辆巡逻队负责赛场周边较大范围的巡逻防控，包括停车场、交通要道等，确保周边交通顺畅，及时发现可疑车辆、人员，对突发事件进行快速响应。</w:t>
      </w:r>
    </w:p>
    <w:p w14:paraId="433B38B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23.2.2秩序维护要点</w:t>
      </w:r>
    </w:p>
    <w:p w14:paraId="0780622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在比赛开场、中场休息、散场等人员流动高峰时段，增派安保力量，加强各出入口、通道、看台等重点部位的秩序维护。引导观众按指定路线入场、退场，避免人群对冲、拥挤踩踏事故发生。</w:t>
      </w:r>
    </w:p>
    <w:p w14:paraId="2A4CFFE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及时制止观众的不文明行为，如翻越栏杆、乱丢垃圾等，维护赛场文明、有序的观赛环境。对违反规定且不听劝阻的人员，依法依规进行处理。</w:t>
      </w:r>
    </w:p>
    <w:p w14:paraId="6C30DEF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23.3 消防、水、电设施设备运行督查</w:t>
      </w:r>
    </w:p>
    <w:p w14:paraId="384EC00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23.3.1消防设施检查</w:t>
      </w:r>
    </w:p>
    <w:p w14:paraId="051D2D1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赛前对赛场内所有消防设施进行全面检查，包括灭火器、消火栓、消防喷淋系统等，确保其完好有效。记录消防设施的位置、数量及检查情况，便于紧急情况下快速取用。</w:t>
      </w:r>
    </w:p>
    <w:p w14:paraId="79F7063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清理消防通道上的障碍物，保证通道畅通无阻。严禁在消防通道上停放车辆、堆放杂物，对违规行为及时责令整改。</w:t>
      </w:r>
    </w:p>
    <w:p w14:paraId="537D941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23.3.2水电设施巡查</w:t>
      </w:r>
    </w:p>
    <w:p w14:paraId="6663A6F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安排专业技术人员对赛场的供电、供水系统进行定时巡查，重点检查配电室、配电箱、水泵房等关键部位。密切关注水电设备的运行参数，及时发现并排除故障隐患，确保比赛期间水电供应稳定。</w:t>
      </w:r>
    </w:p>
    <w:p w14:paraId="1D39699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在比赛现场配备应急发电设备和储水设施，制定应急预案，确保在突发水电故障时能够迅速切换，保障赛事基本运行需求。</w:t>
      </w:r>
    </w:p>
    <w:p w14:paraId="483F873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23.4 特别区域安保</w:t>
      </w:r>
    </w:p>
    <w:p w14:paraId="1E0A239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23.4.1水上救援区域</w:t>
      </w:r>
    </w:p>
    <w:p w14:paraId="1F5E461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在赛道两侧沿线合理配置水上救援力量，包括专业救生艇、救生员等。救生员提前熟悉水域情况，在比赛期间全神贯注，随时准备应对参赛船只翻覆、运动员落水等突发情况。</w:t>
      </w:r>
    </w:p>
    <w:p w14:paraId="7237EB7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水上救援区域与岸边指挥中心保持密切通讯联系，一旦发现紧急情况，能够迅速联动，实施高效救援。</w:t>
      </w:r>
    </w:p>
    <w:p w14:paraId="36C93AB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23.4.2贵宾接待区域</w:t>
      </w:r>
    </w:p>
    <w:p w14:paraId="0E91604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对贵宾接待区实施高标准安保措施，入口处设置严格的安检关卡，对进入人员及其携带物品进行细致安检。区域内配备专属安保人员，提供 24 小时不间断的安全守护，确保贵宾人身财产安全及活动顺利进行。</w:t>
      </w:r>
    </w:p>
    <w:p w14:paraId="4C1F150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根据贵宾行程安排，提前规划安全路线，在沿途部署安保力量，保障贵宾出行安全、顺畅。</w:t>
      </w:r>
    </w:p>
    <w:p w14:paraId="6D381CC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23.5突发事件先期处置</w:t>
      </w:r>
    </w:p>
    <w:p w14:paraId="6EBC0F4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23.5.1建立快速响应机制</w:t>
      </w:r>
    </w:p>
    <w:p w14:paraId="1EF3941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安保指挥中心设置专门的应急调度岗位，配备先进的通讯设备，确保一旦接到突发事件报告，能够迅速核实情况，下达处置指令。</w:t>
      </w:r>
    </w:p>
    <w:p w14:paraId="3CACF0E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各安保岗位人员熟悉突发事件报告流程，在发现问题的第一时间向指挥中心报告，同时采取必要的先期控制措施，防止事态扩大。</w:t>
      </w:r>
    </w:p>
    <w:p w14:paraId="550FE03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23.5.2常见突发事件先期处置方法</w:t>
      </w:r>
    </w:p>
    <w:p w14:paraId="5024195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人员受伤：现场安保人员立即通知医疗救护人员赶赴现场，协助疏散围观群众，为伤员开辟救援通道，确保医疗救护工作及时、顺利开展。</w:t>
      </w:r>
    </w:p>
    <w:p w14:paraId="332FADD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群众纠纷：迅速上前制止冲突双方，将涉事人员带离现场至相对安静区域，了解事情缘由，耐心劝解，避免矛盾升级。如纠纷较为严重，及时移交公安机关处理。</w:t>
      </w:r>
    </w:p>
    <w:p w14:paraId="25ACBE1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23.6人检和车检政策</w:t>
      </w:r>
    </w:p>
    <w:p w14:paraId="68861C0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23.6.1人员安检</w:t>
      </w:r>
    </w:p>
    <w:p w14:paraId="274BC3C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在赛场各出入口设置安检门、X 光 检测仪等安检设备，对入场观众、工作人员进行全面安检。要求观众配合打开背包、口袋等接受检查，严禁携带易燃易爆、管制刀具、瓶装液体等危险物品入场。</w:t>
      </w:r>
    </w:p>
    <w:p w14:paraId="3017E66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对运动员、裁判员、媒体记者等特殊人群，在安检时核对其有效证件，在确保身份无误的基础上，适当简化安检流程，但仍需检查其携带的专业器材、设备是否存在安全隐患。</w:t>
      </w:r>
    </w:p>
    <w:p w14:paraId="3BBA694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23.6.2车辆安检</w:t>
      </w:r>
    </w:p>
    <w:p w14:paraId="2175F90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在赛场周边停车场入口设置车辆安检关卡，对入场车辆进行检查，包括车身外观、后备箱、车内储物箱等部位。严禁车辆携带危险化学品、爆炸物等违禁物品进入停车场。</w:t>
      </w:r>
    </w:p>
    <w:p w14:paraId="772116A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对于大型客车、货车等重点车辆，进行更为细致的检查，要求司机出示相关证件，登记车辆信息、行程路线等，确保车辆安全可靠、来源合法。</w:t>
      </w:r>
    </w:p>
    <w:p w14:paraId="45673CA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23.7禁/限物品管理</w:t>
      </w:r>
    </w:p>
    <w:p w14:paraId="43F3A06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23.7.1明确禁限物品清单</w:t>
      </w:r>
    </w:p>
    <w:p w14:paraId="5DAA3A2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制定详细的禁限物品清单，通过赛场公告、官方网站、社交媒体等多种渠道向公众广泛宣传，让观众提前知晓哪些物品禁止携带或限制携带。</w:t>
      </w:r>
    </w:p>
    <w:p w14:paraId="7197324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禁带物品主要包括各类枪支弹药、管制刀具、烟花爆竹、易燃液体、剧毒化学品等具有明显危险性的物品；限带物品如充电宝（规定容量以下）、小型折叠伞、自用食品饮料（非玻璃瓶装）等，需按规定进行检查、存放后携带入场。</w:t>
      </w:r>
    </w:p>
    <w:p w14:paraId="41FF642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23.7.2物品处置流程</w:t>
      </w:r>
    </w:p>
    <w:p w14:paraId="68791FD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在安检过程中发现禁带物品，安保人员向携带人详细解释相关规定，要求其自行选择放弃物品、交由亲友带回或暂存于指定地点（赛后领取）。对于拒不配合的人员，依法依规进行处理。</w:t>
      </w:r>
    </w:p>
    <w:p w14:paraId="206AEC5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对限带物品，安检人员按照规定进行检查、登记，确保其符合安全标准后，允许携带人带入赛场指定区域妥善保管、使用。</w:t>
      </w:r>
    </w:p>
    <w:p w14:paraId="6DCF42D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23.8可疑物处理</w:t>
      </w:r>
    </w:p>
    <w:p w14:paraId="286EA57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23.8.1发现与报告</w:t>
      </w:r>
    </w:p>
    <w:p w14:paraId="4FD6F68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安保人员在巡逻、安检或日常值守过程中，如发现无人看管的包裹、箱子或其他可疑物品，应立即停止手头工作，保持现场原状，并迅速向安保指挥中心报告。报告时需准确描述可疑物的位置、外观特征、发现时间等关键信息。</w:t>
      </w:r>
    </w:p>
    <w:p w14:paraId="3DA89A7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23.8.2应急处置措施</w:t>
      </w:r>
    </w:p>
    <w:p w14:paraId="2FCB06A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指挥中心接到报告后，迅速启动可疑物处置预案。一方面，组织周边安保人员疏散附近群众，设置警戒区域，防止无关人员靠近；另一方面，通知专业排爆人员携带装备赶赴现场，对可疑物进行甄别、处置。在排爆过程中，密切配合，确保人员安全和现场秩序稳定。</w:t>
      </w:r>
    </w:p>
    <w:p w14:paraId="03857BF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23.9群众治安事件控制措施</w:t>
      </w:r>
    </w:p>
    <w:p w14:paraId="09DFEAA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23.9.1预警监测</w:t>
      </w:r>
    </w:p>
    <w:p w14:paraId="27E12A5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通过视频监控系统、安保人员巡逻反馈等多种途径，实时关注赛场内外群众情绪、行为动态，建立治安事件预警机制。一旦发现人群聚集、情绪激动等异常迹象，及时分析研判，发出预警信号。</w:t>
      </w:r>
    </w:p>
    <w:p w14:paraId="02A8095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23.9.1现场控制</w:t>
      </w:r>
    </w:p>
    <w:p w14:paraId="61AF94E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当发生群众治安事件时，安保人员迅速赶赴现场，组成人墙或利用防护装备隔离冲突双方，防止事态进一步恶化。同时，通过扩音设备向群众喊话，表明身份，告知群众保持冷静，听从指挥，有序疏散。</w:t>
      </w:r>
    </w:p>
    <w:p w14:paraId="27A15C4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合理调配警力和安保资源，对带头闹事、违法犯罪人员进行重点控制，依法进行处理，尽快恢复现场秩序。</w:t>
      </w:r>
    </w:p>
    <w:p w14:paraId="03AE0C8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23.10突发恐怖暴力事件处理措施</w:t>
      </w:r>
    </w:p>
    <w:p w14:paraId="250CD23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23.10.1应急预案制定与演练</w:t>
      </w:r>
    </w:p>
    <w:p w14:paraId="38B21A4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结合赛场实际情况，制定完善的突发恐怖暴力事件应急预案，明确各部门、各岗位在应急处置中的职责、任务和协同机制。定期组织安保人员、相关工作人员开展反恐应急演练，提高应对恐怖暴力事件的实战能力。</w:t>
      </w:r>
    </w:p>
    <w:p w14:paraId="06F4DEA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23.10.2应急处置流程</w:t>
      </w:r>
    </w:p>
    <w:p w14:paraId="732ACE3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一旦发生恐怖暴力事件，现场安保人员立即进行自卫反击，保护周边群众生命安全，同时向指挥中心报警。指挥中心迅速启动应急预案，协调公安、武警、医疗等多部门力量赶赴现场。</w:t>
      </w:r>
    </w:p>
    <w:p w14:paraId="263DBA4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公安、武警迅速封锁现场，围捕恐怖暴力分子；医疗救护人员在安全区域搭建临时救护点，对受伤群众进行紧急救治；安保人员协助疏散群众，维护现场秩序，确保救援、处置工作顺利进行。在事件处置结束后，配合公安机关进行现场勘查、调查取证等后续工作，总结经验教训，完善安保措施。</w:t>
      </w:r>
    </w:p>
    <w:p w14:paraId="1ABA067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704696A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24 人力资源和志愿者服务</w:t>
      </w:r>
    </w:p>
    <w:p w14:paraId="57FB419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24.1 人力资源需求</w:t>
      </w:r>
    </w:p>
    <w:p w14:paraId="69821DA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24.1.1赛事组织管理人员：负责整个赛事的策划、筹备、协调与执行，包括赛程安排、场地布置、物资采购、参赛队伍联络等工作，需具备丰富的赛事组织经验和较强的沟通协调能力。</w:t>
      </w:r>
    </w:p>
    <w:p w14:paraId="1EB2C32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24.1.2安全保障人员：保障比赛现场及周边水域安全，包括水上救生员、岸上安保人员。水上救生员要熟练掌握水上救援技能，持有相关资质证书；岸上安保人员负责维持观众秩序、管控出入口等。</w:t>
      </w:r>
    </w:p>
    <w:p w14:paraId="34EED98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24.1.3医疗救护人员：在赛场设置医疗急救站，配备专业医生、护士，能够及时处理运动员、观众突发伤病情况，准备常见急救药品与设备。</w:t>
      </w:r>
    </w:p>
    <w:p w14:paraId="4BB73A4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24.1.4设备维护人员：赛前、赛中对龙舟、赛道、码头设施、计时计分设备等进行检查调试，比赛期间随时待命应对设备故障，应具备相关技术维修技能。</w:t>
      </w:r>
    </w:p>
    <w:p w14:paraId="6CED0E4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以上人员数量根据实际比赛规模而定。</w:t>
      </w:r>
    </w:p>
    <w:p w14:paraId="2144181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24.2 志愿者与辅助裁判需求</w:t>
      </w:r>
    </w:p>
    <w:p w14:paraId="5B5ECAD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24.2.1志愿者需求</w:t>
      </w:r>
    </w:p>
    <w:p w14:paraId="4B6C2F2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引导志愿者：在赛场入口、停车场、观众席等区域引导观众入场、就座，解答观众疑问，帮助维持现场秩序，要热情开朗、熟悉场地布局的志愿者。</w:t>
      </w:r>
    </w:p>
    <w:p w14:paraId="7E718DF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后勤保障志愿者：协助赛事组织方进行物资搬运、分发，保障运动员休息区、媒体工作区物资供应，为工作人员和志愿者提供餐饮服务等。</w:t>
      </w:r>
    </w:p>
    <w:p w14:paraId="31D23C8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文化宣传志愿者：向观众、游客宣传龙舟文化，发放赛事宣传资料，通过拍照、摄像记录赛事精彩瞬间用于后期宣传。</w:t>
      </w:r>
    </w:p>
    <w:p w14:paraId="66F34D6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比赛志愿者：协助裁判进行赛事的组织，保障赛事的顺利、流畅的进行。</w:t>
      </w:r>
    </w:p>
    <w:p w14:paraId="37B1A24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24.2.2辅助裁判需求：协助各岗位裁判长完成比赛中的一些基础裁判工作，如协助检查参赛队伍装备是否符合规定、记录比赛成绩、举牌示意犯规、起点取齐等工作，要求熟悉比赛规则，具备一定的体育赛事服务经验，具有体育工作经验者或体育教师为宜，水上的辅助裁判须会游泳。</w:t>
      </w:r>
    </w:p>
    <w:p w14:paraId="1055868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以上人员数量根据实际比赛规模而定。与赛事组织有关的志愿者和辅助裁判根据各项赛事总裁判长提供的人员清单确定。</w:t>
      </w:r>
    </w:p>
    <w:p w14:paraId="4122FFE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1450E1C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25 赞助商服务</w:t>
      </w:r>
    </w:p>
    <w:p w14:paraId="0282FC32">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25.1 赞助商现场展示</w:t>
      </w:r>
    </w:p>
    <w:p w14:paraId="327FACD5">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25.1.1专属展示区设立：在赛场的显眼位置，如观众入口、主看台周边、运动员休息区附近等，为不同等级的赞助商划分专属展示区域。展示区采用定制化设计，融入赞助商的品牌元素，如品牌标识、主题色等，通过搭建富有创意的展示台、展板，展示赞助商的产品、企业文化与发展历程。</w:t>
      </w:r>
    </w:p>
    <w:p w14:paraId="230918C7">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25.1.2产品体验互动：安排专门的工作人员引导观众、运动员参与赞助商产品的现场体验活动。</w:t>
      </w:r>
    </w:p>
    <w:p w14:paraId="68EA403E">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25.1.3舞台表演与品牌植入：在赛场的表演时段，巧妙融入赞助商元素。</w:t>
      </w:r>
    </w:p>
    <w:p w14:paraId="0DFB56B8">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25.2 场馆广告</w:t>
      </w:r>
    </w:p>
    <w:p w14:paraId="71D98E75">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25.2.1静态广告投放</w:t>
      </w:r>
    </w:p>
    <w:p w14:paraId="45BA1336">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围栏广告：沿着赛场周边的围栏，张贴大型海报广告，确保观众从各个角度入场都能清晰看到赞助商广告。广告画面设计突出品牌核心信息，结合龙舟比赛的动感元素，吸引观众目光。</w:t>
      </w:r>
    </w:p>
    <w:p w14:paraId="53D0D061">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看台广告：在观众看台的座椅靠背、台阶侧面、扶手栏杆等位置，设置不同规格的广告位，使观众在观赛过程中随时能接触到赞助商品牌。根据看台区域的人流量与视野优势，合理分配不同级别赞助商的广告位置。</w:t>
      </w:r>
    </w:p>
    <w:p w14:paraId="5C8F1947">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场馆内部标识广告：在场馆的入口指示牌、通道标识牌、卫生间标识牌等功能性标识上，融入赞助商广告。将品牌标识与引导信息巧妙结合，既不影响观众识别，又能增加广告展示频次。</w:t>
      </w:r>
    </w:p>
    <w:p w14:paraId="28738102">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25.2.2动态广告呈现：</w:t>
      </w:r>
    </w:p>
    <w:p w14:paraId="0274BB1D">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电子大屏广告：利用赛场的大型电子显示屏，在比赛间隙、赛前预热、颁奖环节等时段播放赞助商的视频广告。广告内容包括品牌宣传片、产品广告片、促销活动信息等，通过高清、动态的画面吸引观众注意力，配合震撼的音效，营造强烈的视听冲击。</w:t>
      </w:r>
    </w:p>
    <w:p w14:paraId="5B477A92">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投影广告：在赛场的地面、建筑墙面等位置，运用投影技术投放赞助商广告。尤其是在夜间比赛时，光影效果能营造出独特的氛围，让广告更加醒目。投影广告可以根据比赛进程、现场气氛切换不同的画面，实现多样化的展示效果。</w:t>
      </w:r>
    </w:p>
    <w:p w14:paraId="1AD9259D">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25.3 赞助商识别</w:t>
      </w:r>
    </w:p>
    <w:p w14:paraId="62FEB12E">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25.3.1标识展示规范</w:t>
      </w:r>
    </w:p>
    <w:p w14:paraId="145DE60D">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制定统一的赞助商标识展示规范，要求在赛场的所有宣传物料、工作人员服装、赛事设备等上面，按照赞助商的赞助级别，合理展示品牌标识。</w:t>
      </w:r>
    </w:p>
    <w:p w14:paraId="5F098951">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25.3.2主持人及解说提及</w:t>
      </w:r>
    </w:p>
    <w:p w14:paraId="2CA4D42C">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在赛事直播、现场解说过程中，主持人与解说员按照既定的脚本，定时、高频次地提及赞助商名称、感谢赞助商支持。</w:t>
      </w:r>
    </w:p>
    <w:p w14:paraId="43E701FE">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25.3.3媒体宣传配合</w:t>
      </w:r>
    </w:p>
    <w:p w14:paraId="7990C49D">
      <w:pPr>
        <w:keepNext w:val="0"/>
        <w:keepLines w:val="0"/>
        <w:pageBreakBefore w:val="0"/>
        <w:widowControl w:val="0"/>
        <w:shd w:val="clear" w:color="auto" w:fill="FFFFFF"/>
        <w:kinsoku/>
        <w:wordWrap/>
        <w:overflowPunct/>
        <w:topLinePunct w:val="0"/>
        <w:autoSpaceDE/>
        <w:autoSpaceDN/>
        <w:bidi w:val="0"/>
        <w:adjustRightInd/>
        <w:snapToGrid/>
        <w:spacing w:after="0"/>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与赛事合作的媒体单位，在赛前、赛中、赛后的新闻报道、专题文章、社交媒体推送中，统一遵循赞助商识别规则。</w:t>
      </w:r>
    </w:p>
    <w:p w14:paraId="5B7B01A0">
      <w:pPr>
        <w:shd w:val="clear" w:color="auto" w:fill="FFFFFF"/>
        <w:adjustRightInd/>
        <w:snapToGrid/>
        <w:spacing w:after="0"/>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p>
    <w:p w14:paraId="6E7A00D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26 附  则</w:t>
      </w:r>
    </w:p>
    <w:p w14:paraId="597F1E7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26.1本指南适用于我国境内（不含香港特别行政区、澳门特别行政区、台湾省）举办的各类龙舟赛事及相关活动，为龙舟赛事办赛方提供技术服务和指导参考。</w:t>
      </w:r>
    </w:p>
    <w:p w14:paraId="5F3FBE4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pPr>
      <w:r>
        <w:rPr>
          <w:rFonts w:hint="eastAsia" w:ascii="仿宋_GB2312" w:hAnsi="微软雅黑" w:eastAsia="仿宋_GB2312" w:cs="宋体"/>
          <w:b w:val="0"/>
          <w:bCs w:val="0"/>
          <w:color w:val="000000" w:themeColor="text1"/>
          <w:sz w:val="28"/>
          <w:szCs w:val="28"/>
          <w:lang w:val="en-US" w:eastAsia="zh-CN"/>
          <w14:textFill>
            <w14:solidFill>
              <w14:schemeClr w14:val="tx1"/>
            </w14:solidFill>
          </w14:textFill>
        </w:rPr>
        <w:t>26.2本指南解释权属于国家体育总局社会体育中心和中国龙舟协会。</w:t>
      </w:r>
    </w:p>
    <w:p w14:paraId="73F185B2">
      <w:pPr>
        <w:pStyle w:val="5"/>
        <w:keepNext w:val="0"/>
        <w:keepLines w:val="0"/>
        <w:widowControl/>
        <w:suppressLineNumbers w:val="0"/>
        <w:jc w:val="center"/>
        <w:rPr>
          <w:rFonts w:hint="eastAsia" w:ascii="仿宋_GB2312" w:hAnsi="微软雅黑" w:eastAsia="仿宋_GB2312" w:cs="宋体"/>
          <w:b/>
          <w:bCs/>
          <w:color w:val="000000" w:themeColor="text1"/>
          <w:kern w:val="2"/>
          <w:sz w:val="28"/>
          <w:szCs w:val="28"/>
          <w:lang w:val="en-US" w:eastAsia="zh-CN" w:bidi="ar-SA"/>
          <w14:textFill>
            <w14:solidFill>
              <w14:schemeClr w14:val="tx1"/>
            </w14:solidFill>
          </w14:textFill>
        </w:rPr>
      </w:pPr>
    </w:p>
    <w:p w14:paraId="0F454420">
      <w:pPr>
        <w:rPr>
          <w:rFonts w:hint="eastAsia"/>
          <w:lang w:val="en-US" w:eastAsia="zh-CN"/>
        </w:rPr>
      </w:pPr>
    </w:p>
    <w:p w14:paraId="018F3DF9">
      <w:pPr>
        <w:pStyle w:val="5"/>
        <w:keepNext w:val="0"/>
        <w:keepLines w:val="0"/>
        <w:widowControl/>
        <w:suppressLineNumbers w:val="0"/>
        <w:jc w:val="both"/>
        <w:rPr>
          <w:rFonts w:hint="eastAsia" w:ascii="仿宋_GB2312" w:hAnsi="微软雅黑" w:eastAsia="仿宋_GB2312" w:cs="宋体"/>
          <w:b/>
          <w:bCs/>
          <w:color w:val="000000" w:themeColor="text1"/>
          <w:kern w:val="2"/>
          <w:sz w:val="28"/>
          <w:szCs w:val="28"/>
          <w:lang w:val="en-US" w:eastAsia="zh-CN" w:bidi="ar-SA"/>
          <w14:textFill>
            <w14:solidFill>
              <w14:schemeClr w14:val="tx1"/>
            </w14:solidFill>
          </w14:textFill>
        </w:rPr>
      </w:pPr>
    </w:p>
    <w:p w14:paraId="45D83649">
      <w:pPr>
        <w:pStyle w:val="5"/>
        <w:keepNext w:val="0"/>
        <w:keepLines w:val="0"/>
        <w:widowControl/>
        <w:suppressLineNumbers w:val="0"/>
        <w:jc w:val="center"/>
        <w:rPr>
          <w:rFonts w:hint="eastAsia" w:ascii="仿宋_GB2312" w:hAnsi="微软雅黑" w:eastAsia="仿宋_GB2312" w:cs="宋体"/>
          <w:b/>
          <w:bCs/>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bCs/>
          <w:color w:val="000000" w:themeColor="text1"/>
          <w:kern w:val="2"/>
          <w:sz w:val="28"/>
          <w:szCs w:val="28"/>
          <w:lang w:val="en-US" w:eastAsia="zh-CN" w:bidi="ar-SA"/>
          <w14:textFill>
            <w14:solidFill>
              <w14:schemeClr w14:val="tx1"/>
            </w14:solidFill>
          </w14:textFill>
        </w:rPr>
        <w:t>参 考 文 献</w:t>
      </w:r>
    </w:p>
    <w:p w14:paraId="74D745E8">
      <w:pPr>
        <w:spacing w:before="286" w:line="218"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[1]TY/T1103—2023 群众体育赛事活动办赛指南编制内容与评估指引.</w:t>
      </w:r>
    </w:p>
    <w:p w14:paraId="26589C00">
      <w:pPr>
        <w:spacing w:before="59" w:line="219"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[2]大型群众性活动安全管理条例(中华人民共和国国务院令第505号).</w:t>
      </w:r>
    </w:p>
    <w:p w14:paraId="2F20AD07">
      <w:pPr>
        <w:spacing w:before="67" w:line="219"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[3]体育赛事活动管理办法(国家体育总局令第31号).</w:t>
      </w:r>
    </w:p>
    <w:p w14:paraId="25F99EB1">
      <w:pPr>
        <w:spacing w:before="108" w:line="219"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[4]关于进一步加强体育赛事活动安全监管服务的意见(体规字〔2021〕3号).</w:t>
      </w:r>
    </w:p>
    <w:p w14:paraId="12A43FC7">
      <w:pPr>
        <w:spacing w:before="67" w:line="219"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[5]关于构建更高水平的全民健身公共服务体系的意见(中办发〔2021〕61号).</w:t>
      </w:r>
    </w:p>
    <w:p w14:paraId="36B273CF">
      <w:pPr>
        <w:spacing w:before="67" w:line="219"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[6]体育总局关于建立健全体育赛事活动“熔断”机制的通知(体规字〔2022〕3号).</w:t>
      </w:r>
    </w:p>
    <w:p w14:paraId="4D828C63">
      <w:pPr>
        <w:spacing w:before="79" w:line="219"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[7]体育总局关于进一步加强户外运动项目赛事活动监督管理的通知(体规字〔2022〕4号).</w:t>
      </w:r>
    </w:p>
    <w:p w14:paraId="6C240F68">
      <w:pPr>
        <w:spacing w:before="79" w:line="219" w:lineRule="auto"/>
        <w:jc w:val="left"/>
        <w:rPr>
          <w:rFonts w:hint="default"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2"/>
          <w:sz w:val="28"/>
          <w:szCs w:val="28"/>
          <w:lang w:val="en-US" w:eastAsia="zh-CN" w:bidi="ar-SA"/>
          <w14:textFill>
            <w14:solidFill>
              <w14:schemeClr w14:val="tx1"/>
            </w14:solidFill>
          </w14:textFill>
        </w:rPr>
        <w:t>[8]体育总局办公厅关于进一步加强群众体育工作安全风险防控的通知(体群字〔2022〕118号).</w:t>
      </w:r>
    </w:p>
    <w:p w14:paraId="6D57C104">
      <w:pPr>
        <w:shd w:val="clear" w:color="auto" w:fill="FFFFFF"/>
        <w:adjustRightInd/>
        <w:snapToGrid/>
        <w:spacing w:after="0"/>
        <w:rPr>
          <w:rFonts w:hint="eastAsia" w:ascii="仿宋_GB2312" w:hAnsi="微软雅黑" w:eastAsia="仿宋_GB2312" w:cs="宋体"/>
          <w:color w:val="000000" w:themeColor="text1"/>
          <w:sz w:val="30"/>
          <w:szCs w:val="30"/>
          <w14:textFill>
            <w14:solidFill>
              <w14:schemeClr w14:val="tx1"/>
            </w14:solidFill>
          </w14:textFill>
        </w:rPr>
      </w:pPr>
    </w:p>
    <w:p w14:paraId="1DFDCE7B">
      <w:pPr>
        <w:shd w:val="clear" w:color="auto" w:fill="FFFFFF"/>
        <w:adjustRightInd/>
        <w:snapToGrid/>
        <w:spacing w:after="0"/>
        <w:ind w:firstLine="600" w:firstLineChars="200"/>
        <w:rPr>
          <w:rFonts w:hint="eastAsia" w:ascii="仿宋_GB2312" w:hAnsi="微软雅黑" w:eastAsia="仿宋_GB2312" w:cs="宋体"/>
          <w:color w:val="000000" w:themeColor="text1"/>
          <w:sz w:val="30"/>
          <w:szCs w:val="30"/>
          <w:lang w:val="en-US" w:eastAsia="zh-CN"/>
          <w14:textFill>
            <w14:solidFill>
              <w14:schemeClr w14:val="tx1"/>
            </w14:solidFill>
          </w14:textFill>
        </w:rPr>
      </w:pPr>
    </w:p>
    <w:p w14:paraId="22CFD5F0"/>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E1D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D0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A0C5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8A0C5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0365"/>
    <w:rsid w:val="02535CBD"/>
    <w:rsid w:val="03367AB9"/>
    <w:rsid w:val="03D472D2"/>
    <w:rsid w:val="03E07C9C"/>
    <w:rsid w:val="04BF588C"/>
    <w:rsid w:val="05243941"/>
    <w:rsid w:val="05BD613B"/>
    <w:rsid w:val="06BA27AF"/>
    <w:rsid w:val="088A7F5F"/>
    <w:rsid w:val="08FE5215"/>
    <w:rsid w:val="0A5B5249"/>
    <w:rsid w:val="0E813BB2"/>
    <w:rsid w:val="107F4121"/>
    <w:rsid w:val="11AF4034"/>
    <w:rsid w:val="1254115C"/>
    <w:rsid w:val="146A7901"/>
    <w:rsid w:val="19185113"/>
    <w:rsid w:val="197E58BE"/>
    <w:rsid w:val="1B46240B"/>
    <w:rsid w:val="1EDB10BC"/>
    <w:rsid w:val="20B41BC5"/>
    <w:rsid w:val="21415B4F"/>
    <w:rsid w:val="226F0499"/>
    <w:rsid w:val="24247062"/>
    <w:rsid w:val="24AD7057"/>
    <w:rsid w:val="251D41DD"/>
    <w:rsid w:val="25EE7945"/>
    <w:rsid w:val="27A243AF"/>
    <w:rsid w:val="2859377E"/>
    <w:rsid w:val="28B704A4"/>
    <w:rsid w:val="2CBD0053"/>
    <w:rsid w:val="2E3F1BB5"/>
    <w:rsid w:val="30077F63"/>
    <w:rsid w:val="31126BC0"/>
    <w:rsid w:val="32342338"/>
    <w:rsid w:val="33CA57E8"/>
    <w:rsid w:val="387168C2"/>
    <w:rsid w:val="38EF6DE0"/>
    <w:rsid w:val="3AB6680E"/>
    <w:rsid w:val="3D7B7564"/>
    <w:rsid w:val="3E916C1F"/>
    <w:rsid w:val="3F5C54AA"/>
    <w:rsid w:val="41120516"/>
    <w:rsid w:val="41990C37"/>
    <w:rsid w:val="432B1CD8"/>
    <w:rsid w:val="451E4AEF"/>
    <w:rsid w:val="45857508"/>
    <w:rsid w:val="462A00B0"/>
    <w:rsid w:val="48AC74A2"/>
    <w:rsid w:val="4A363D3B"/>
    <w:rsid w:val="4B49722A"/>
    <w:rsid w:val="4F26273B"/>
    <w:rsid w:val="4F6939F7"/>
    <w:rsid w:val="4FED4228"/>
    <w:rsid w:val="501A73E7"/>
    <w:rsid w:val="5028404D"/>
    <w:rsid w:val="536966BB"/>
    <w:rsid w:val="553D4AA7"/>
    <w:rsid w:val="576C3832"/>
    <w:rsid w:val="59B242F7"/>
    <w:rsid w:val="5BFC111C"/>
    <w:rsid w:val="60A056E7"/>
    <w:rsid w:val="625C1DEA"/>
    <w:rsid w:val="6324615B"/>
    <w:rsid w:val="63A4729C"/>
    <w:rsid w:val="64AD7237"/>
    <w:rsid w:val="65736F26"/>
    <w:rsid w:val="66284B57"/>
    <w:rsid w:val="667C62AE"/>
    <w:rsid w:val="690E7134"/>
    <w:rsid w:val="6AF64881"/>
    <w:rsid w:val="6B1A1EB5"/>
    <w:rsid w:val="6C6A0E2B"/>
    <w:rsid w:val="74FA6D1C"/>
    <w:rsid w:val="795E2B1F"/>
    <w:rsid w:val="7A886C4E"/>
    <w:rsid w:val="7B203043"/>
    <w:rsid w:val="7BFE409F"/>
    <w:rsid w:val="7E8807F6"/>
    <w:rsid w:val="7F166E48"/>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18620</Words>
  <Characters>20515</Characters>
  <Lines>0</Lines>
  <Paragraphs>0</Paragraphs>
  <TotalTime>0</TotalTime>
  <ScaleCrop>false</ScaleCrop>
  <LinksUpToDate>false</LinksUpToDate>
  <CharactersWithSpaces>20956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2024-12-24T05:03:00Z</dcterms:created>
  <dc:creator>d</dc:creator>
  <cp:lastModifiedBy>韩倩</cp:lastModifiedBy>
  <dcterms:modified xsi:type="dcterms:W3CDTF">2026-04-09T02:37:20Z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BA20452D45B7401BBB2239F413D24751_12</vt:lpwstr>
  </property>
  <property fmtid="{D5CDD505-2E9C-101B-9397-08002B2CF9AE}" pid="4" name="KSOTemplateDocerSaveRecord">
    <vt:lpwstr>eyJoZGlkIjoiNGQ5ODQ2Nzk2ZGI3NDgxNWY3NzA1MDVkZmI5ODNkYjYiLCJ1c2VySWQiOiIxNDQxODE4MTE5In0=</vt:lpwstr>
  </property>
</Properties>
</file>