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20E34">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rPr>
        <w:t>全</w:t>
      </w:r>
      <w:r>
        <w:rPr>
          <w:rFonts w:hint="eastAsia" w:ascii="方正小标宋简体" w:hAnsi="方正小标宋简体" w:eastAsia="方正小标宋简体" w:cs="方正小标宋简体"/>
          <w:sz w:val="36"/>
          <w:szCs w:val="36"/>
        </w:rPr>
        <w:t>国迷你高球运动裁判员管理办法</w:t>
      </w:r>
    </w:p>
    <w:p w14:paraId="444B79F5">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试行</w:t>
      </w:r>
      <w:bookmarkStart w:id="5" w:name="_GoBack"/>
      <w:bookmarkEnd w:id="5"/>
      <w:r>
        <w:rPr>
          <w:rFonts w:hint="eastAsia" w:ascii="方正小标宋简体" w:hAnsi="方正小标宋简体" w:eastAsia="方正小标宋简体" w:cs="方正小标宋简体"/>
          <w:sz w:val="36"/>
          <w:szCs w:val="36"/>
        </w:rPr>
        <w:t>）</w:t>
      </w:r>
    </w:p>
    <w:p w14:paraId="1E929368">
      <w:pPr>
        <w:rPr>
          <w:rFonts w:hint="eastAsia" w:ascii="仿宋" w:hAnsi="仿宋" w:eastAsia="仿宋" w:cs="仿宋"/>
          <w:szCs w:val="32"/>
        </w:rPr>
      </w:pPr>
    </w:p>
    <w:p w14:paraId="0FA0F9AE">
      <w:pPr>
        <w:pStyle w:val="2"/>
        <w:rPr>
          <w:rFonts w:hint="eastAsia" w:ascii="黑体" w:hAnsi="黑体" w:eastAsia="黑体" w:cs="黑体"/>
          <w:szCs w:val="32"/>
        </w:rPr>
      </w:pPr>
      <w:r>
        <w:rPr>
          <w:rFonts w:hint="eastAsia" w:ascii="黑体" w:hAnsi="黑体" w:eastAsia="黑体" w:cs="黑体"/>
          <w:szCs w:val="32"/>
        </w:rPr>
        <w:t>第一章  总</w:t>
      </w:r>
      <w:r>
        <w:rPr>
          <w:rFonts w:hint="eastAsia" w:ascii="黑体" w:hAnsi="黑体" w:eastAsia="黑体" w:cs="黑体"/>
          <w:szCs w:val="32"/>
          <w:lang w:val="en-US"/>
        </w:rPr>
        <w:t xml:space="preserve">  </w:t>
      </w:r>
      <w:r>
        <w:rPr>
          <w:rFonts w:hint="eastAsia" w:ascii="黑体" w:hAnsi="黑体" w:eastAsia="黑体" w:cs="黑体"/>
          <w:szCs w:val="32"/>
        </w:rPr>
        <w:t>则</w:t>
      </w:r>
    </w:p>
    <w:p w14:paraId="2D974DAC">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szCs w:val="32"/>
        </w:rPr>
        <w:t>为加强迷你高球裁判员（以下简称裁判员）队伍管理与建设，提高迷你高球裁判员的技术水平和综合素质，保证迷你高球竞赛公平、公正、有序进行，根据《中华人民共和国体育法》及国家体育总局《体育竞赛裁判员管理办法》，结合全国迷你高球发展实际情况及有关规定制定本办法。</w:t>
      </w:r>
    </w:p>
    <w:p w14:paraId="208B8193">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裁判员实行分级认证、分级注册、分级管理。</w:t>
      </w:r>
    </w:p>
    <w:p w14:paraId="22F69FD3">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裁判员技术等级分为：国家级裁判员、一级裁判员、二级裁判员、三级裁判员。</w:t>
      </w:r>
    </w:p>
    <w:p w14:paraId="6A5E16B3">
      <w:pPr>
        <w:jc w:val="both"/>
        <w:rPr>
          <w:rFonts w:hint="eastAsia" w:ascii="黑体" w:hAnsi="黑体" w:eastAsia="黑体" w:cs="黑体"/>
          <w:szCs w:val="32"/>
        </w:rPr>
      </w:pPr>
    </w:p>
    <w:p w14:paraId="43B2307D">
      <w:pPr>
        <w:pStyle w:val="2"/>
        <w:rPr>
          <w:rFonts w:hint="eastAsia" w:ascii="黑体" w:hAnsi="黑体" w:eastAsia="黑体" w:cs="黑体"/>
          <w:szCs w:val="32"/>
        </w:rPr>
      </w:pPr>
      <w:r>
        <w:rPr>
          <w:rFonts w:hint="eastAsia" w:ascii="黑体" w:hAnsi="黑体" w:eastAsia="黑体" w:cs="黑体"/>
          <w:szCs w:val="32"/>
        </w:rPr>
        <w:t>第二章  管理机构</w:t>
      </w:r>
    </w:p>
    <w:p w14:paraId="25FB0181">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裁判员证书由国家体育总局社会体育指导中心（以下简称社体中心）统一制作发放。</w:t>
      </w:r>
    </w:p>
    <w:p w14:paraId="29758064">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lang w:val="en-US"/>
        </w:rPr>
        <w:t>试行阶段，社体中心</w:t>
      </w:r>
      <w:r>
        <w:rPr>
          <w:rFonts w:hint="eastAsia" w:ascii="仿宋" w:hAnsi="仿宋" w:eastAsia="仿宋" w:cs="仿宋"/>
          <w:szCs w:val="32"/>
        </w:rPr>
        <w:t>负责</w:t>
      </w:r>
      <w:r>
        <w:rPr>
          <w:rFonts w:hint="eastAsia" w:ascii="仿宋" w:hAnsi="仿宋" w:eastAsia="仿宋" w:cs="仿宋"/>
          <w:szCs w:val="32"/>
          <w:lang w:val="en-US"/>
        </w:rPr>
        <w:t>所有级别裁判员培训、考核、认证工作。</w:t>
      </w:r>
    </w:p>
    <w:p w14:paraId="1BCB3D98">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lang w:val="en-US"/>
        </w:rPr>
        <w:t>社体中心负责</w:t>
      </w:r>
      <w:r>
        <w:rPr>
          <w:rFonts w:hint="eastAsia" w:ascii="仿宋" w:hAnsi="仿宋" w:eastAsia="仿宋" w:cs="仿宋"/>
          <w:szCs w:val="32"/>
        </w:rPr>
        <w:t>国家级裁判员</w:t>
      </w:r>
      <w:r>
        <w:rPr>
          <w:rFonts w:hint="eastAsia" w:ascii="仿宋" w:hAnsi="仿宋" w:eastAsia="仿宋" w:cs="仿宋"/>
          <w:szCs w:val="32"/>
          <w:lang w:val="en-US"/>
        </w:rPr>
        <w:t>的</w:t>
      </w:r>
      <w:r>
        <w:rPr>
          <w:rFonts w:hint="eastAsia" w:ascii="仿宋" w:hAnsi="仿宋" w:eastAsia="仿宋" w:cs="仿宋"/>
          <w:szCs w:val="32"/>
        </w:rPr>
        <w:t>选调工作。</w:t>
      </w:r>
    </w:p>
    <w:p w14:paraId="5F06ABB6">
      <w:pPr>
        <w:pStyle w:val="33"/>
        <w:ind w:left="632"/>
        <w:jc w:val="both"/>
        <w:rPr>
          <w:rFonts w:hint="eastAsia" w:ascii="仿宋" w:hAnsi="仿宋" w:eastAsia="仿宋" w:cs="仿宋"/>
          <w:szCs w:val="32"/>
        </w:rPr>
      </w:pPr>
    </w:p>
    <w:p w14:paraId="0C21BFF0">
      <w:pPr>
        <w:pStyle w:val="2"/>
        <w:rPr>
          <w:rFonts w:hint="eastAsia" w:ascii="黑体" w:hAnsi="黑体" w:eastAsia="黑体" w:cs="黑体"/>
          <w:szCs w:val="32"/>
        </w:rPr>
      </w:pPr>
      <w:r>
        <w:rPr>
          <w:rFonts w:hint="eastAsia" w:ascii="黑体" w:hAnsi="黑体" w:eastAsia="黑体" w:cs="黑体"/>
          <w:szCs w:val="32"/>
        </w:rPr>
        <w:t>第三章  技术等级认证</w:t>
      </w:r>
    </w:p>
    <w:p w14:paraId="05CD03C7">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裁判员技术等级认证考核内容包括：竞赛规则和裁判法、临场执裁经验和职业道德的考察。晋升国家级裁判员应当加试英语或国际工作语言，作为资格认证的参考。</w:t>
      </w:r>
    </w:p>
    <w:p w14:paraId="25169581">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裁判员须是18周岁</w:t>
      </w:r>
      <w:r>
        <w:rPr>
          <w:rFonts w:hint="eastAsia" w:ascii="仿宋" w:hAnsi="仿宋" w:eastAsia="仿宋" w:cs="仿宋"/>
          <w:szCs w:val="32"/>
          <w:lang w:val="en-US"/>
        </w:rPr>
        <w:t>至</w:t>
      </w:r>
      <w:r>
        <w:rPr>
          <w:rFonts w:hint="eastAsia" w:ascii="仿宋" w:hAnsi="仿宋" w:eastAsia="仿宋" w:cs="仿宋"/>
          <w:szCs w:val="32"/>
        </w:rPr>
        <w:t>60周岁的中国公民。</w:t>
      </w:r>
    </w:p>
    <w:p w14:paraId="6E722FC8">
      <w:pPr>
        <w:pStyle w:val="33"/>
        <w:numPr>
          <w:ilvl w:val="0"/>
          <w:numId w:val="1"/>
        </w:numPr>
        <w:ind w:left="0" w:firstLine="632" w:firstLineChars="200"/>
        <w:jc w:val="both"/>
        <w:rPr>
          <w:rFonts w:hint="eastAsia" w:ascii="仿宋" w:hAnsi="仿宋" w:eastAsia="仿宋" w:cs="仿宋"/>
          <w:szCs w:val="32"/>
        </w:rPr>
      </w:pPr>
      <w:bookmarkStart w:id="0" w:name="_Hlk97740963"/>
      <w:r>
        <w:rPr>
          <w:rFonts w:hint="eastAsia" w:ascii="仿宋" w:hAnsi="仿宋" w:eastAsia="仿宋" w:cs="仿宋"/>
          <w:szCs w:val="32"/>
        </w:rPr>
        <w:t>三级</w:t>
      </w:r>
      <w:bookmarkEnd w:id="0"/>
      <w:r>
        <w:rPr>
          <w:rFonts w:hint="eastAsia" w:ascii="仿宋" w:hAnsi="仿宋" w:eastAsia="仿宋" w:cs="仿宋"/>
          <w:szCs w:val="32"/>
        </w:rPr>
        <w:t>裁判员技术等级认证标准：</w:t>
      </w:r>
      <w:bookmarkStart w:id="1" w:name="_Hlk66374803"/>
      <w:r>
        <w:rPr>
          <w:rFonts w:hint="eastAsia" w:ascii="仿宋" w:hAnsi="仿宋" w:eastAsia="仿宋" w:cs="仿宋"/>
          <w:szCs w:val="32"/>
        </w:rPr>
        <w:t>掌握和基本运用迷你高球竞赛规则和裁判法</w:t>
      </w:r>
      <w:bookmarkEnd w:id="1"/>
      <w:r>
        <w:rPr>
          <w:rFonts w:hint="eastAsia" w:ascii="仿宋" w:hAnsi="仿宋" w:eastAsia="仿宋" w:cs="仿宋"/>
          <w:szCs w:val="32"/>
        </w:rPr>
        <w:t>；经三级裁判员培训并考试合格者。</w:t>
      </w:r>
    </w:p>
    <w:p w14:paraId="2D9FF528">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二级裁判员技术等级认证标准：掌握和</w:t>
      </w:r>
      <w:r>
        <w:rPr>
          <w:rFonts w:hint="eastAsia" w:ascii="仿宋" w:hAnsi="仿宋" w:eastAsia="仿宋" w:cs="仿宋"/>
          <w:szCs w:val="32"/>
          <w:lang w:val="en-US"/>
        </w:rPr>
        <w:t>正确</w:t>
      </w:r>
      <w:r>
        <w:rPr>
          <w:rFonts w:hint="eastAsia" w:ascii="仿宋" w:hAnsi="仿宋" w:eastAsia="仿宋" w:cs="仿宋"/>
          <w:szCs w:val="32"/>
        </w:rPr>
        <w:t>运用迷你高球竞赛规则和裁判法；</w:t>
      </w:r>
      <w:r>
        <w:rPr>
          <w:rFonts w:hint="eastAsia" w:ascii="仿宋" w:hAnsi="仿宋" w:eastAsia="仿宋" w:cs="仿宋"/>
          <w:szCs w:val="32"/>
          <w:lang w:val="en-US"/>
        </w:rPr>
        <w:t>具有</w:t>
      </w:r>
      <w:r>
        <w:rPr>
          <w:rFonts w:hint="eastAsia" w:ascii="仿宋" w:hAnsi="仿宋" w:eastAsia="仿宋" w:cs="仿宋"/>
          <w:szCs w:val="32"/>
        </w:rPr>
        <w:t>担任</w:t>
      </w:r>
      <w:r>
        <w:rPr>
          <w:rFonts w:hint="eastAsia" w:ascii="仿宋" w:hAnsi="仿宋" w:eastAsia="仿宋" w:cs="仿宋"/>
          <w:szCs w:val="32"/>
          <w:lang w:val="en-US"/>
        </w:rPr>
        <w:t>迷你高球比赛</w:t>
      </w:r>
      <w:r>
        <w:rPr>
          <w:rFonts w:hint="eastAsia" w:ascii="仿宋" w:hAnsi="仿宋" w:eastAsia="仿宋" w:cs="仿宋"/>
          <w:szCs w:val="32"/>
        </w:rPr>
        <w:t>裁判</w:t>
      </w:r>
      <w:r>
        <w:rPr>
          <w:rFonts w:hint="eastAsia" w:ascii="仿宋" w:hAnsi="仿宋" w:eastAsia="仿宋" w:cs="仿宋"/>
          <w:szCs w:val="32"/>
          <w:lang w:val="en-US"/>
        </w:rPr>
        <w:t>员的经历</w:t>
      </w:r>
      <w:r>
        <w:rPr>
          <w:rFonts w:hint="eastAsia" w:ascii="仿宋" w:hAnsi="仿宋" w:eastAsia="仿宋" w:cs="仿宋"/>
          <w:szCs w:val="32"/>
        </w:rPr>
        <w:t>；</w:t>
      </w:r>
      <w:bookmarkStart w:id="2" w:name="_Hlk95906579"/>
      <w:r>
        <w:rPr>
          <w:rFonts w:hint="eastAsia" w:ascii="仿宋" w:hAnsi="仿宋" w:eastAsia="仿宋" w:cs="仿宋"/>
          <w:szCs w:val="32"/>
        </w:rPr>
        <w:t>经二级裁判员培训并考试合格者。</w:t>
      </w:r>
      <w:bookmarkEnd w:id="2"/>
    </w:p>
    <w:p w14:paraId="6C8CCFC7">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一级裁判员技术等级认证标准：掌握和</w:t>
      </w:r>
      <w:r>
        <w:rPr>
          <w:rFonts w:hint="eastAsia" w:ascii="仿宋" w:hAnsi="仿宋" w:eastAsia="仿宋" w:cs="仿宋"/>
          <w:szCs w:val="32"/>
          <w:lang w:val="en-US"/>
        </w:rPr>
        <w:t>准确</w:t>
      </w:r>
      <w:r>
        <w:rPr>
          <w:rFonts w:hint="eastAsia" w:ascii="仿宋" w:hAnsi="仿宋" w:eastAsia="仿宋" w:cs="仿宋"/>
          <w:szCs w:val="32"/>
        </w:rPr>
        <w:t>运用迷你高球竞赛规则和裁判法；任二级裁判员满一年；</w:t>
      </w:r>
      <w:r>
        <w:rPr>
          <w:rFonts w:hint="eastAsia" w:ascii="仿宋" w:hAnsi="仿宋" w:eastAsia="仿宋" w:cs="仿宋"/>
          <w:szCs w:val="32"/>
          <w:lang w:val="en-US"/>
        </w:rPr>
        <w:t>具有担任</w:t>
      </w:r>
      <w:r>
        <w:rPr>
          <w:rFonts w:hint="eastAsia" w:ascii="仿宋" w:hAnsi="仿宋" w:eastAsia="仿宋" w:cs="仿宋"/>
          <w:szCs w:val="32"/>
        </w:rPr>
        <w:t>省级及以上迷你高球</w:t>
      </w:r>
      <w:r>
        <w:rPr>
          <w:rFonts w:hint="eastAsia" w:ascii="仿宋" w:hAnsi="仿宋" w:eastAsia="仿宋" w:cs="仿宋"/>
          <w:szCs w:val="32"/>
          <w:lang w:val="en-US"/>
        </w:rPr>
        <w:t>比</w:t>
      </w:r>
      <w:r>
        <w:rPr>
          <w:rFonts w:hint="eastAsia" w:ascii="仿宋" w:hAnsi="仿宋" w:eastAsia="仿宋" w:cs="仿宋"/>
          <w:szCs w:val="32"/>
        </w:rPr>
        <w:t>赛裁判</w:t>
      </w:r>
      <w:r>
        <w:rPr>
          <w:rFonts w:hint="eastAsia" w:ascii="仿宋" w:hAnsi="仿宋" w:eastAsia="仿宋" w:cs="仿宋"/>
          <w:szCs w:val="32"/>
          <w:lang w:val="en-US"/>
        </w:rPr>
        <w:t>员的经历</w:t>
      </w:r>
      <w:r>
        <w:rPr>
          <w:rFonts w:hint="eastAsia" w:ascii="仿宋" w:hAnsi="仿宋" w:eastAsia="仿宋" w:cs="仿宋"/>
          <w:szCs w:val="32"/>
        </w:rPr>
        <w:t>；经一级裁判员培训并考试合格者。</w:t>
      </w:r>
    </w:p>
    <w:p w14:paraId="710BF3BC">
      <w:pPr>
        <w:pStyle w:val="33"/>
        <w:numPr>
          <w:ilvl w:val="0"/>
          <w:numId w:val="1"/>
        </w:numPr>
        <w:ind w:left="0" w:firstLine="632" w:firstLineChars="200"/>
        <w:jc w:val="both"/>
        <w:rPr>
          <w:rFonts w:hint="eastAsia" w:ascii="仿宋" w:hAnsi="仿宋" w:eastAsia="仿宋" w:cs="仿宋"/>
          <w:szCs w:val="32"/>
          <w:lang w:eastAsia="zh-Hans"/>
        </w:rPr>
      </w:pPr>
      <w:r>
        <w:rPr>
          <w:rFonts w:hint="eastAsia" w:ascii="仿宋" w:hAnsi="仿宋" w:eastAsia="仿宋" w:cs="仿宋"/>
          <w:szCs w:val="32"/>
        </w:rPr>
        <w:t>国家级裁判员技术等级认证标准：具有较高的迷你高球裁判理论水平；任一级裁判员满二年；</w:t>
      </w:r>
      <w:r>
        <w:rPr>
          <w:rFonts w:hint="eastAsia" w:ascii="仿宋" w:hAnsi="仿宋" w:eastAsia="仿宋" w:cs="仿宋"/>
          <w:szCs w:val="32"/>
          <w:lang w:val="en-US"/>
        </w:rPr>
        <w:t>具有担任</w:t>
      </w:r>
      <w:r>
        <w:rPr>
          <w:rFonts w:hint="eastAsia" w:ascii="仿宋" w:hAnsi="仿宋" w:eastAsia="仿宋" w:cs="仿宋"/>
          <w:szCs w:val="32"/>
        </w:rPr>
        <w:t>国家级及以上迷你高球</w:t>
      </w:r>
      <w:r>
        <w:rPr>
          <w:rFonts w:hint="eastAsia" w:ascii="仿宋" w:hAnsi="仿宋" w:eastAsia="仿宋" w:cs="仿宋"/>
          <w:szCs w:val="32"/>
          <w:lang w:val="en-US"/>
        </w:rPr>
        <w:t>比</w:t>
      </w:r>
      <w:r>
        <w:rPr>
          <w:rFonts w:hint="eastAsia" w:ascii="仿宋" w:hAnsi="仿宋" w:eastAsia="仿宋" w:cs="仿宋"/>
          <w:szCs w:val="32"/>
        </w:rPr>
        <w:t>赛</w:t>
      </w:r>
      <w:r>
        <w:rPr>
          <w:rFonts w:hint="eastAsia" w:ascii="仿宋" w:hAnsi="仿宋" w:eastAsia="仿宋" w:cs="仿宋"/>
          <w:szCs w:val="32"/>
          <w:lang w:val="en-US"/>
        </w:rPr>
        <w:t>裁判员的经历</w:t>
      </w:r>
      <w:r>
        <w:rPr>
          <w:rFonts w:hint="eastAsia" w:ascii="仿宋" w:hAnsi="仿宋" w:eastAsia="仿宋" w:cs="仿宋"/>
          <w:szCs w:val="32"/>
        </w:rPr>
        <w:t>；经国家级裁判员培训并考试合格者。</w:t>
      </w:r>
    </w:p>
    <w:p w14:paraId="7292699B">
      <w:pPr>
        <w:pStyle w:val="33"/>
        <w:ind w:left="632" w:leftChars="200"/>
        <w:jc w:val="both"/>
        <w:rPr>
          <w:rFonts w:hint="eastAsia" w:ascii="仿宋" w:hAnsi="仿宋" w:eastAsia="仿宋" w:cs="仿宋"/>
          <w:szCs w:val="32"/>
          <w:lang w:eastAsia="zh-Hans"/>
        </w:rPr>
      </w:pPr>
    </w:p>
    <w:p w14:paraId="3A4B02C1">
      <w:pPr>
        <w:pStyle w:val="2"/>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rPr>
        <w:t xml:space="preserve">  </w:t>
      </w:r>
      <w:r>
        <w:rPr>
          <w:rFonts w:hint="eastAsia" w:ascii="黑体" w:hAnsi="黑体" w:eastAsia="黑体" w:cs="黑体"/>
          <w:szCs w:val="32"/>
        </w:rPr>
        <w:t>裁判员注册管理</w:t>
      </w:r>
    </w:p>
    <w:p w14:paraId="6AB56C2B">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裁判员实行注册管理制度。</w:t>
      </w:r>
    </w:p>
    <w:p w14:paraId="4D03A774">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社体中心每两年对裁判员进行注册、复核。</w:t>
      </w:r>
    </w:p>
    <w:p w14:paraId="203BF452">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裁判员须持有注册有效期内的技术等级证书方能参加各级迷你高球</w:t>
      </w:r>
      <w:r>
        <w:rPr>
          <w:rFonts w:hint="eastAsia" w:ascii="仿宋" w:hAnsi="仿宋" w:eastAsia="仿宋" w:cs="仿宋"/>
          <w:szCs w:val="32"/>
          <w:lang w:val="en-US"/>
        </w:rPr>
        <w:t>比赛</w:t>
      </w:r>
      <w:r>
        <w:rPr>
          <w:rFonts w:hint="eastAsia" w:ascii="仿宋" w:hAnsi="仿宋" w:eastAsia="仿宋" w:cs="仿宋"/>
          <w:szCs w:val="32"/>
        </w:rPr>
        <w:t>的执裁工作。</w:t>
      </w:r>
    </w:p>
    <w:p w14:paraId="3718A5D6">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逾期未进行注册的裁判员，其裁判员资格自动取消，裁判员证书失效，不得参与迷你高球竞赛的执裁工作。如需恢复工作资格，须再次通过相应技术等级裁判员考试。</w:t>
      </w:r>
    </w:p>
    <w:p w14:paraId="479ED77C">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裁判员注册信息库向社会公布以下主要信息：</w:t>
      </w:r>
    </w:p>
    <w:p w14:paraId="33BD9A99">
      <w:pPr>
        <w:ind w:firstLine="632" w:firstLineChars="200"/>
        <w:jc w:val="both"/>
        <w:rPr>
          <w:rFonts w:hint="eastAsia" w:ascii="仿宋" w:hAnsi="仿宋" w:eastAsia="仿宋" w:cs="仿宋"/>
          <w:szCs w:val="32"/>
        </w:rPr>
      </w:pPr>
      <w:bookmarkStart w:id="3" w:name="_Hlk97741899"/>
      <w:r>
        <w:rPr>
          <w:rFonts w:hint="eastAsia" w:ascii="仿宋" w:hAnsi="仿宋" w:eastAsia="仿宋" w:cs="仿宋"/>
          <w:szCs w:val="32"/>
        </w:rPr>
        <w:t>（一）</w:t>
      </w:r>
      <w:bookmarkEnd w:id="3"/>
      <w:bookmarkStart w:id="4" w:name="_Hlk97741932"/>
      <w:r>
        <w:rPr>
          <w:rFonts w:hint="eastAsia" w:ascii="仿宋" w:hAnsi="仿宋" w:eastAsia="仿宋" w:cs="仿宋"/>
          <w:szCs w:val="32"/>
        </w:rPr>
        <w:t>裁判员</w:t>
      </w:r>
      <w:bookmarkEnd w:id="4"/>
      <w:r>
        <w:rPr>
          <w:rFonts w:hint="eastAsia" w:ascii="仿宋" w:hAnsi="仿宋" w:eastAsia="仿宋" w:cs="仿宋"/>
          <w:szCs w:val="32"/>
        </w:rPr>
        <w:t>姓名、年龄、性别、取得证书时间；</w:t>
      </w:r>
    </w:p>
    <w:p w14:paraId="0BE09E4D">
      <w:pPr>
        <w:ind w:firstLine="632" w:firstLineChars="200"/>
        <w:jc w:val="both"/>
        <w:rPr>
          <w:rFonts w:hint="eastAsia" w:ascii="仿宋" w:hAnsi="仿宋" w:eastAsia="仿宋" w:cs="仿宋"/>
          <w:szCs w:val="32"/>
        </w:rPr>
      </w:pPr>
      <w:r>
        <w:rPr>
          <w:rFonts w:hint="eastAsia" w:ascii="仿宋" w:hAnsi="仿宋" w:eastAsia="仿宋" w:cs="仿宋"/>
          <w:szCs w:val="32"/>
        </w:rPr>
        <w:t>（二）裁判员技术等级、注册申报单位；</w:t>
      </w:r>
    </w:p>
    <w:p w14:paraId="4325A4B9">
      <w:pPr>
        <w:ind w:firstLine="632" w:firstLineChars="200"/>
        <w:jc w:val="both"/>
        <w:rPr>
          <w:rFonts w:hint="eastAsia" w:ascii="仿宋" w:hAnsi="仿宋" w:eastAsia="仿宋" w:cs="仿宋"/>
          <w:szCs w:val="32"/>
        </w:rPr>
      </w:pPr>
      <w:r>
        <w:rPr>
          <w:rFonts w:hint="eastAsia" w:ascii="仿宋" w:hAnsi="仿宋" w:eastAsia="仿宋" w:cs="仿宋"/>
          <w:szCs w:val="32"/>
        </w:rPr>
        <w:t>（三）裁判员参加相应等级竞赛裁判工作记录；</w:t>
      </w:r>
    </w:p>
    <w:p w14:paraId="162D2241">
      <w:pPr>
        <w:ind w:firstLine="632" w:firstLineChars="200"/>
        <w:jc w:val="both"/>
        <w:rPr>
          <w:rFonts w:hint="eastAsia" w:ascii="仿宋" w:hAnsi="仿宋" w:eastAsia="仿宋" w:cs="仿宋"/>
          <w:szCs w:val="32"/>
        </w:rPr>
      </w:pPr>
    </w:p>
    <w:p w14:paraId="6175984B">
      <w:pPr>
        <w:pStyle w:val="2"/>
        <w:rPr>
          <w:rFonts w:hint="eastAsia" w:ascii="黑体" w:hAnsi="黑体" w:eastAsia="黑体" w:cs="黑体"/>
          <w:szCs w:val="32"/>
        </w:rPr>
      </w:pPr>
      <w:r>
        <w:rPr>
          <w:rFonts w:hint="eastAsia" w:ascii="黑体" w:hAnsi="黑体" w:eastAsia="黑体" w:cs="黑体"/>
          <w:szCs w:val="32"/>
        </w:rPr>
        <w:t xml:space="preserve">第五章 </w:t>
      </w:r>
      <w:r>
        <w:rPr>
          <w:rFonts w:hint="eastAsia" w:ascii="黑体" w:hAnsi="黑体" w:eastAsia="黑体" w:cs="黑体"/>
          <w:szCs w:val="32"/>
          <w:lang w:val="en-US"/>
        </w:rPr>
        <w:t xml:space="preserve"> </w:t>
      </w:r>
      <w:r>
        <w:rPr>
          <w:rFonts w:hint="eastAsia" w:ascii="黑体" w:hAnsi="黑体" w:eastAsia="黑体" w:cs="黑体"/>
          <w:szCs w:val="32"/>
        </w:rPr>
        <w:t>裁判员选派</w:t>
      </w:r>
    </w:p>
    <w:p w14:paraId="776051DB">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国家级迷你高球</w:t>
      </w:r>
      <w:r>
        <w:rPr>
          <w:rFonts w:hint="eastAsia" w:ascii="仿宋" w:hAnsi="仿宋" w:eastAsia="仿宋" w:cs="仿宋"/>
          <w:szCs w:val="32"/>
          <w:lang w:val="en-US"/>
        </w:rPr>
        <w:t>比</w:t>
      </w:r>
      <w:r>
        <w:rPr>
          <w:rFonts w:hint="eastAsia" w:ascii="仿宋" w:hAnsi="仿宋" w:eastAsia="仿宋" w:cs="仿宋"/>
          <w:szCs w:val="32"/>
        </w:rPr>
        <w:t>赛的</w:t>
      </w:r>
      <w:r>
        <w:rPr>
          <w:rFonts w:hint="eastAsia" w:ascii="仿宋" w:hAnsi="仿宋" w:eastAsia="仿宋" w:cs="仿宋"/>
          <w:szCs w:val="32"/>
          <w:lang w:val="en-US"/>
        </w:rPr>
        <w:t>裁判员</w:t>
      </w:r>
      <w:r>
        <w:rPr>
          <w:rFonts w:hint="eastAsia" w:ascii="仿宋" w:hAnsi="仿宋" w:eastAsia="仿宋" w:cs="仿宋"/>
          <w:szCs w:val="32"/>
        </w:rPr>
        <w:t>应由国家级裁判员担任，其他临场执裁的裁判员应为一级（含）以上裁判员。省级（含）以下各类迷你高球</w:t>
      </w:r>
      <w:r>
        <w:rPr>
          <w:rFonts w:hint="eastAsia" w:ascii="仿宋" w:hAnsi="仿宋" w:eastAsia="仿宋" w:cs="仿宋"/>
          <w:szCs w:val="32"/>
          <w:lang w:val="en-US"/>
        </w:rPr>
        <w:t>比</w:t>
      </w:r>
      <w:r>
        <w:rPr>
          <w:rFonts w:hint="eastAsia" w:ascii="仿宋" w:hAnsi="仿宋" w:eastAsia="仿宋" w:cs="仿宋"/>
          <w:szCs w:val="32"/>
        </w:rPr>
        <w:t>赛的裁判员由地方体育主管部门（</w:t>
      </w:r>
      <w:r>
        <w:rPr>
          <w:rFonts w:hint="eastAsia" w:ascii="仿宋" w:hAnsi="仿宋" w:eastAsia="仿宋" w:cs="仿宋"/>
          <w:szCs w:val="32"/>
          <w:lang w:val="en-US"/>
        </w:rPr>
        <w:t>或</w:t>
      </w:r>
      <w:r>
        <w:rPr>
          <w:rFonts w:hint="eastAsia" w:ascii="仿宋" w:hAnsi="仿宋" w:eastAsia="仿宋" w:cs="仿宋"/>
          <w:szCs w:val="32"/>
        </w:rPr>
        <w:t>协会）</w:t>
      </w:r>
      <w:r>
        <w:rPr>
          <w:rFonts w:hint="eastAsia" w:ascii="仿宋" w:hAnsi="仿宋" w:eastAsia="仿宋" w:cs="仿宋"/>
          <w:szCs w:val="32"/>
          <w:lang w:val="en-US"/>
        </w:rPr>
        <w:t>选派</w:t>
      </w:r>
      <w:r>
        <w:rPr>
          <w:rFonts w:hint="eastAsia" w:ascii="仿宋" w:hAnsi="仿宋" w:eastAsia="仿宋" w:cs="仿宋"/>
          <w:szCs w:val="32"/>
        </w:rPr>
        <w:t>。</w:t>
      </w:r>
    </w:p>
    <w:p w14:paraId="45312BE1">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各级迷你高球</w:t>
      </w:r>
      <w:r>
        <w:rPr>
          <w:rFonts w:hint="eastAsia" w:ascii="仿宋" w:hAnsi="仿宋" w:eastAsia="仿宋" w:cs="仿宋"/>
          <w:szCs w:val="32"/>
          <w:lang w:val="en-US"/>
        </w:rPr>
        <w:t>比</w:t>
      </w:r>
      <w:r>
        <w:rPr>
          <w:rFonts w:hint="eastAsia" w:ascii="仿宋" w:hAnsi="仿宋" w:eastAsia="仿宋" w:cs="仿宋"/>
          <w:szCs w:val="32"/>
        </w:rPr>
        <w:t>赛的裁判员选派应当遵循以下原则。</w:t>
      </w:r>
    </w:p>
    <w:p w14:paraId="0A6D312E">
      <w:pPr>
        <w:pStyle w:val="33"/>
        <w:numPr>
          <w:ilvl w:val="0"/>
          <w:numId w:val="2"/>
        </w:numPr>
        <w:ind w:firstLine="632" w:firstLineChars="200"/>
        <w:jc w:val="both"/>
        <w:rPr>
          <w:rFonts w:hint="eastAsia" w:ascii="仿宋" w:hAnsi="仿宋" w:eastAsia="仿宋" w:cs="仿宋"/>
          <w:szCs w:val="32"/>
        </w:rPr>
      </w:pPr>
      <w:r>
        <w:rPr>
          <w:rFonts w:hint="eastAsia" w:ascii="仿宋" w:hAnsi="仿宋" w:eastAsia="仿宋" w:cs="仿宋"/>
          <w:szCs w:val="32"/>
        </w:rPr>
        <w:t>公开原则：选派裁判员的过程保持高度透明。所有的选派标准、过程和结果都应当对所有相关方公开，确保每位有兴趣参与的人都能获取到相同的信息，并有机会根据规定申请成为裁判员。</w:t>
      </w:r>
    </w:p>
    <w:p w14:paraId="1A046E68">
      <w:pPr>
        <w:pStyle w:val="33"/>
        <w:numPr>
          <w:ilvl w:val="0"/>
          <w:numId w:val="2"/>
        </w:numPr>
        <w:ind w:firstLine="632" w:firstLineChars="200"/>
        <w:jc w:val="both"/>
        <w:rPr>
          <w:rFonts w:hint="eastAsia" w:ascii="仿宋" w:hAnsi="仿宋" w:eastAsia="仿宋" w:cs="仿宋"/>
          <w:szCs w:val="32"/>
        </w:rPr>
      </w:pPr>
      <w:r>
        <w:rPr>
          <w:rFonts w:hint="eastAsia" w:ascii="仿宋" w:hAnsi="仿宋" w:eastAsia="仿宋" w:cs="仿宋"/>
          <w:szCs w:val="32"/>
        </w:rPr>
        <w:t>择优原则：选派裁判员时应优先考虑具备优秀技能、丰富经验和专业知识的人选。</w:t>
      </w:r>
    </w:p>
    <w:p w14:paraId="370C4434">
      <w:pPr>
        <w:pStyle w:val="33"/>
        <w:numPr>
          <w:ilvl w:val="0"/>
          <w:numId w:val="2"/>
        </w:numPr>
        <w:ind w:firstLine="632" w:firstLineChars="200"/>
        <w:jc w:val="both"/>
        <w:rPr>
          <w:rFonts w:hint="eastAsia" w:ascii="仿宋" w:hAnsi="仿宋" w:eastAsia="仿宋" w:cs="仿宋"/>
          <w:szCs w:val="32"/>
        </w:rPr>
      </w:pPr>
      <w:r>
        <w:rPr>
          <w:rFonts w:hint="eastAsia" w:ascii="仿宋" w:hAnsi="仿宋" w:eastAsia="仿宋" w:cs="仿宋"/>
          <w:szCs w:val="32"/>
        </w:rPr>
        <w:t>回避原则：若裁判员与参赛者之间存在任何形式的利益关系或者可能引起利益冲突的关系，该裁判员应该主动上报并回避。</w:t>
      </w:r>
    </w:p>
    <w:p w14:paraId="6CA1501C">
      <w:pPr>
        <w:pStyle w:val="33"/>
        <w:numPr>
          <w:ilvl w:val="0"/>
          <w:numId w:val="2"/>
        </w:numPr>
        <w:ind w:firstLine="632" w:firstLineChars="200"/>
        <w:jc w:val="both"/>
        <w:rPr>
          <w:rFonts w:hint="eastAsia" w:ascii="仿宋" w:hAnsi="仿宋" w:eastAsia="仿宋" w:cs="仿宋"/>
          <w:szCs w:val="32"/>
        </w:rPr>
      </w:pPr>
      <w:r>
        <w:rPr>
          <w:rFonts w:hint="eastAsia" w:ascii="仿宋" w:hAnsi="仿宋" w:eastAsia="仿宋" w:cs="仿宋"/>
          <w:szCs w:val="32"/>
        </w:rPr>
        <w:t>就近原则：考虑效率和成本等因素，在条件允许的情况下优先选择距离比赛地点较近的裁判员。</w:t>
      </w:r>
    </w:p>
    <w:p w14:paraId="038B3E7B">
      <w:pPr>
        <w:ind w:firstLine="632" w:firstLineChars="200"/>
        <w:jc w:val="both"/>
        <w:rPr>
          <w:rFonts w:hint="eastAsia" w:ascii="仿宋" w:hAnsi="仿宋" w:eastAsia="仿宋" w:cs="仿宋"/>
          <w:szCs w:val="32"/>
        </w:rPr>
      </w:pPr>
    </w:p>
    <w:p w14:paraId="6D81E7CD">
      <w:pPr>
        <w:pStyle w:val="2"/>
        <w:rPr>
          <w:rFonts w:hint="eastAsia" w:ascii="仿宋" w:hAnsi="仿宋" w:eastAsia="仿宋" w:cs="仿宋"/>
          <w:szCs w:val="32"/>
        </w:rPr>
      </w:pPr>
      <w:r>
        <w:rPr>
          <w:rFonts w:hint="eastAsia" w:ascii="黑体" w:hAnsi="黑体" w:eastAsia="黑体" w:cs="黑体"/>
          <w:szCs w:val="32"/>
        </w:rPr>
        <w:t xml:space="preserve">第六章 </w:t>
      </w:r>
      <w:r>
        <w:rPr>
          <w:rFonts w:hint="eastAsia" w:ascii="黑体" w:hAnsi="黑体" w:eastAsia="黑体" w:cs="黑体"/>
          <w:szCs w:val="32"/>
          <w:lang w:val="en-US"/>
        </w:rPr>
        <w:t xml:space="preserve"> </w:t>
      </w:r>
      <w:r>
        <w:rPr>
          <w:rFonts w:hint="eastAsia" w:ascii="黑体" w:hAnsi="黑体" w:eastAsia="黑体" w:cs="黑体"/>
          <w:szCs w:val="32"/>
        </w:rPr>
        <w:t>裁判员权利和义务</w:t>
      </w:r>
    </w:p>
    <w:p w14:paraId="2BA6A6D3">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裁判员享有以下权利：</w:t>
      </w:r>
    </w:p>
    <w:p w14:paraId="335AB02A">
      <w:pPr>
        <w:ind w:firstLine="632" w:firstLineChars="200"/>
        <w:jc w:val="both"/>
        <w:rPr>
          <w:rFonts w:hint="eastAsia" w:ascii="仿宋" w:hAnsi="仿宋" w:eastAsia="仿宋" w:cs="仿宋"/>
          <w:szCs w:val="32"/>
        </w:rPr>
      </w:pPr>
      <w:r>
        <w:rPr>
          <w:rFonts w:hint="eastAsia" w:ascii="仿宋" w:hAnsi="仿宋" w:eastAsia="仿宋" w:cs="仿宋"/>
          <w:szCs w:val="32"/>
        </w:rPr>
        <w:t>（一）参加相应等级的迷你高球竞赛裁判工作；</w:t>
      </w:r>
    </w:p>
    <w:p w14:paraId="392507FC">
      <w:pPr>
        <w:ind w:firstLine="632" w:firstLineChars="200"/>
        <w:jc w:val="both"/>
        <w:rPr>
          <w:rFonts w:hint="eastAsia" w:ascii="仿宋" w:hAnsi="仿宋" w:eastAsia="仿宋" w:cs="仿宋"/>
          <w:szCs w:val="32"/>
        </w:rPr>
      </w:pPr>
      <w:r>
        <w:rPr>
          <w:rFonts w:hint="eastAsia" w:ascii="仿宋" w:hAnsi="仿宋" w:eastAsia="仿宋" w:cs="仿宋"/>
          <w:szCs w:val="32"/>
        </w:rPr>
        <w:t>（二）参加相应</w:t>
      </w:r>
      <w:r>
        <w:rPr>
          <w:rFonts w:hint="eastAsia" w:ascii="仿宋" w:hAnsi="仿宋" w:eastAsia="仿宋" w:cs="仿宋"/>
          <w:szCs w:val="32"/>
          <w:lang w:val="en-US"/>
        </w:rPr>
        <w:t>等级</w:t>
      </w:r>
      <w:r>
        <w:rPr>
          <w:rFonts w:hint="eastAsia" w:ascii="仿宋" w:hAnsi="仿宋" w:eastAsia="仿宋" w:cs="仿宋"/>
          <w:szCs w:val="32"/>
        </w:rPr>
        <w:t>的裁判员学习、培训与考核，并按规定申请晋升等级；</w:t>
      </w:r>
    </w:p>
    <w:p w14:paraId="5CB02862">
      <w:pPr>
        <w:ind w:firstLine="632" w:firstLineChars="200"/>
        <w:jc w:val="both"/>
        <w:rPr>
          <w:rFonts w:hint="eastAsia" w:ascii="仿宋" w:hAnsi="仿宋" w:eastAsia="仿宋" w:cs="仿宋"/>
          <w:szCs w:val="32"/>
        </w:rPr>
      </w:pPr>
      <w:r>
        <w:rPr>
          <w:rFonts w:hint="eastAsia" w:ascii="仿宋" w:hAnsi="仿宋" w:eastAsia="仿宋" w:cs="仿宋"/>
          <w:szCs w:val="32"/>
        </w:rPr>
        <w:t>（三）享受</w:t>
      </w:r>
      <w:r>
        <w:rPr>
          <w:rFonts w:hint="eastAsia" w:ascii="仿宋" w:hAnsi="仿宋" w:eastAsia="仿宋" w:cs="仿宋"/>
          <w:szCs w:val="32"/>
          <w:lang w:val="en-US"/>
        </w:rPr>
        <w:t>相应的执裁</w:t>
      </w:r>
      <w:r>
        <w:rPr>
          <w:rFonts w:hint="eastAsia" w:ascii="仿宋" w:hAnsi="仿宋" w:eastAsia="仿宋" w:cs="仿宋"/>
          <w:szCs w:val="32"/>
        </w:rPr>
        <w:t>待遇。</w:t>
      </w:r>
    </w:p>
    <w:p w14:paraId="6D0A2FA2">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裁判员应承担下列义务：</w:t>
      </w:r>
    </w:p>
    <w:p w14:paraId="3AD2599B">
      <w:pPr>
        <w:ind w:firstLine="632" w:firstLineChars="200"/>
        <w:jc w:val="both"/>
        <w:rPr>
          <w:rFonts w:hint="eastAsia" w:ascii="仿宋" w:hAnsi="仿宋" w:eastAsia="仿宋" w:cs="仿宋"/>
          <w:szCs w:val="32"/>
        </w:rPr>
      </w:pPr>
      <w:r>
        <w:rPr>
          <w:rFonts w:hint="eastAsia" w:ascii="仿宋" w:hAnsi="仿宋" w:eastAsia="仿宋" w:cs="仿宋"/>
          <w:szCs w:val="32"/>
        </w:rPr>
        <w:t>（一）自觉遵守有关纪律和规定，廉洁自律，公平公正</w:t>
      </w:r>
      <w:r>
        <w:rPr>
          <w:rFonts w:hint="eastAsia" w:ascii="仿宋" w:hAnsi="仿宋" w:eastAsia="仿宋" w:cs="仿宋"/>
          <w:szCs w:val="32"/>
          <w:lang w:val="en-US"/>
        </w:rPr>
        <w:t>执裁</w:t>
      </w:r>
      <w:r>
        <w:rPr>
          <w:rFonts w:hint="eastAsia" w:ascii="仿宋" w:hAnsi="仿宋" w:eastAsia="仿宋" w:cs="仿宋"/>
          <w:szCs w:val="32"/>
        </w:rPr>
        <w:t>；</w:t>
      </w:r>
    </w:p>
    <w:p w14:paraId="32C45D9C">
      <w:pPr>
        <w:ind w:firstLine="632" w:firstLineChars="200"/>
        <w:jc w:val="both"/>
        <w:rPr>
          <w:rFonts w:hint="eastAsia" w:ascii="仿宋" w:hAnsi="仿宋" w:eastAsia="仿宋" w:cs="仿宋"/>
          <w:szCs w:val="32"/>
        </w:rPr>
      </w:pPr>
      <w:r>
        <w:rPr>
          <w:rFonts w:hint="eastAsia" w:ascii="仿宋" w:hAnsi="仿宋" w:eastAsia="仿宋" w:cs="仿宋"/>
          <w:szCs w:val="32"/>
        </w:rPr>
        <w:t>（二）熟练掌握运用迷你高球运动竞赛规则和裁判法；</w:t>
      </w:r>
    </w:p>
    <w:p w14:paraId="3247FC65">
      <w:pPr>
        <w:ind w:firstLine="632" w:firstLineChars="200"/>
        <w:jc w:val="both"/>
        <w:rPr>
          <w:rFonts w:hint="eastAsia" w:ascii="仿宋" w:hAnsi="仿宋" w:eastAsia="仿宋" w:cs="仿宋"/>
          <w:szCs w:val="32"/>
        </w:rPr>
      </w:pPr>
      <w:r>
        <w:rPr>
          <w:rFonts w:hint="eastAsia" w:ascii="仿宋" w:hAnsi="仿宋" w:eastAsia="仿宋" w:cs="仿宋"/>
          <w:szCs w:val="32"/>
        </w:rPr>
        <w:t>（三）主动参加培训；</w:t>
      </w:r>
    </w:p>
    <w:p w14:paraId="0EAA768D">
      <w:pPr>
        <w:ind w:firstLine="632" w:firstLineChars="200"/>
        <w:jc w:val="both"/>
        <w:rPr>
          <w:rFonts w:hint="eastAsia" w:ascii="仿宋" w:hAnsi="仿宋" w:eastAsia="仿宋" w:cs="仿宋"/>
          <w:szCs w:val="32"/>
        </w:rPr>
      </w:pPr>
      <w:r>
        <w:rPr>
          <w:rFonts w:hint="eastAsia" w:ascii="仿宋" w:hAnsi="仿宋" w:eastAsia="仿宋" w:cs="仿宋"/>
          <w:szCs w:val="32"/>
        </w:rPr>
        <w:t>（四）主动承担并参加各类裁判工作；</w:t>
      </w:r>
    </w:p>
    <w:p w14:paraId="3C92BA1E">
      <w:pPr>
        <w:ind w:firstLine="632" w:firstLineChars="200"/>
        <w:jc w:val="both"/>
        <w:rPr>
          <w:rFonts w:hint="eastAsia" w:ascii="仿宋" w:hAnsi="仿宋" w:eastAsia="仿宋" w:cs="仿宋"/>
          <w:szCs w:val="32"/>
        </w:rPr>
      </w:pPr>
      <w:r>
        <w:rPr>
          <w:rFonts w:hint="eastAsia" w:ascii="仿宋" w:hAnsi="仿宋" w:eastAsia="仿宋" w:cs="仿宋"/>
          <w:szCs w:val="32"/>
        </w:rPr>
        <w:t>（五）服从管理，并参加相应技术等级裁判员的注册、复核。</w:t>
      </w:r>
    </w:p>
    <w:p w14:paraId="63FAE1E5">
      <w:pPr>
        <w:ind w:firstLine="632" w:firstLineChars="200"/>
        <w:jc w:val="both"/>
        <w:rPr>
          <w:rFonts w:hint="eastAsia" w:ascii="仿宋" w:hAnsi="仿宋" w:eastAsia="仿宋" w:cs="仿宋"/>
          <w:szCs w:val="32"/>
        </w:rPr>
      </w:pPr>
    </w:p>
    <w:p w14:paraId="14B2952C">
      <w:pPr>
        <w:pStyle w:val="2"/>
        <w:rPr>
          <w:rFonts w:hint="eastAsia" w:ascii="黑体" w:hAnsi="黑体" w:eastAsia="黑体" w:cs="黑体"/>
          <w:szCs w:val="32"/>
        </w:rPr>
      </w:pPr>
      <w:r>
        <w:rPr>
          <w:rFonts w:hint="eastAsia" w:ascii="黑体" w:hAnsi="黑体" w:eastAsia="黑体" w:cs="黑体"/>
          <w:szCs w:val="32"/>
        </w:rPr>
        <w:t>第七章</w:t>
      </w:r>
      <w:r>
        <w:rPr>
          <w:rFonts w:hint="eastAsia" w:ascii="黑体" w:hAnsi="黑体" w:eastAsia="黑体" w:cs="黑体"/>
          <w:szCs w:val="32"/>
          <w:lang w:val="en-US"/>
        </w:rPr>
        <w:t xml:space="preserve"> </w:t>
      </w:r>
      <w:r>
        <w:rPr>
          <w:rFonts w:hint="eastAsia" w:ascii="黑体" w:hAnsi="黑体" w:eastAsia="黑体" w:cs="黑体"/>
          <w:szCs w:val="32"/>
        </w:rPr>
        <w:t xml:space="preserve"> 裁判员处罚</w:t>
      </w:r>
    </w:p>
    <w:p w14:paraId="2211815E">
      <w:pPr>
        <w:pStyle w:val="33"/>
        <w:numPr>
          <w:ilvl w:val="0"/>
          <w:numId w:val="1"/>
        </w:numPr>
        <w:jc w:val="both"/>
        <w:rPr>
          <w:rFonts w:hint="eastAsia" w:ascii="仿宋" w:hAnsi="仿宋" w:eastAsia="仿宋" w:cs="仿宋"/>
          <w:szCs w:val="32"/>
        </w:rPr>
      </w:pPr>
      <w:r>
        <w:rPr>
          <w:rFonts w:hint="eastAsia" w:ascii="仿宋" w:hAnsi="仿宋" w:eastAsia="仿宋" w:cs="仿宋"/>
          <w:szCs w:val="32"/>
        </w:rPr>
        <w:t>对违规违纪裁判员的申诉、举报程序：</w:t>
      </w:r>
    </w:p>
    <w:p w14:paraId="149CB876">
      <w:pPr>
        <w:ind w:firstLine="632" w:firstLineChars="200"/>
        <w:jc w:val="both"/>
        <w:rPr>
          <w:rFonts w:hint="eastAsia" w:ascii="仿宋" w:hAnsi="仿宋" w:eastAsia="仿宋" w:cs="仿宋"/>
          <w:szCs w:val="32"/>
        </w:rPr>
      </w:pPr>
      <w:r>
        <w:rPr>
          <w:rFonts w:hint="eastAsia" w:ascii="仿宋" w:hAnsi="仿宋" w:eastAsia="仿宋" w:cs="仿宋"/>
          <w:szCs w:val="32"/>
        </w:rPr>
        <w:t>对于裁判员在</w:t>
      </w:r>
      <w:r>
        <w:rPr>
          <w:rFonts w:hint="eastAsia" w:ascii="仿宋" w:hAnsi="仿宋" w:eastAsia="仿宋" w:cs="仿宋"/>
          <w:szCs w:val="32"/>
          <w:lang w:val="en-US"/>
        </w:rPr>
        <w:t>比</w:t>
      </w:r>
      <w:r>
        <w:rPr>
          <w:rFonts w:hint="eastAsia" w:ascii="仿宋" w:hAnsi="仿宋" w:eastAsia="仿宋" w:cs="仿宋"/>
          <w:szCs w:val="32"/>
        </w:rPr>
        <w:t>赛期间有违规违纪行为的，各参赛单位和个人可向社体中心进行申诉和举报。申诉和举报</w:t>
      </w:r>
      <w:r>
        <w:rPr>
          <w:rFonts w:hint="eastAsia" w:ascii="仿宋" w:hAnsi="仿宋" w:eastAsia="仿宋" w:cs="仿宋"/>
          <w:szCs w:val="32"/>
          <w:lang w:val="en-US"/>
        </w:rPr>
        <w:t>须实名报送</w:t>
      </w:r>
      <w:r>
        <w:rPr>
          <w:rFonts w:hint="eastAsia" w:ascii="仿宋" w:hAnsi="仿宋" w:eastAsia="仿宋" w:cs="仿宋"/>
          <w:szCs w:val="32"/>
        </w:rPr>
        <w:t>书面材料，写明违规违纪行为发生的时间、地点、违纪事项、主要证据、涉及人员等。</w:t>
      </w:r>
    </w:p>
    <w:p w14:paraId="5B5D3B04">
      <w:pPr>
        <w:pStyle w:val="33"/>
        <w:numPr>
          <w:ilvl w:val="0"/>
          <w:numId w:val="1"/>
        </w:numPr>
        <w:ind w:left="0" w:firstLine="632" w:firstLineChars="200"/>
        <w:jc w:val="both"/>
        <w:rPr>
          <w:rFonts w:hint="eastAsia" w:ascii="仿宋" w:hAnsi="仿宋" w:eastAsia="仿宋" w:cs="仿宋"/>
          <w:szCs w:val="32"/>
        </w:rPr>
      </w:pPr>
      <w:r>
        <w:rPr>
          <w:rFonts w:hint="eastAsia" w:ascii="仿宋" w:hAnsi="仿宋" w:eastAsia="仿宋" w:cs="仿宋"/>
          <w:szCs w:val="32"/>
        </w:rPr>
        <w:t>对违规违纪裁判员的处罚</w:t>
      </w:r>
      <w:r>
        <w:rPr>
          <w:rFonts w:hint="eastAsia" w:ascii="仿宋" w:hAnsi="仿宋" w:eastAsia="仿宋" w:cs="仿宋"/>
          <w:szCs w:val="32"/>
          <w:lang w:val="en-US"/>
        </w:rPr>
        <w:t>类型</w:t>
      </w:r>
      <w:r>
        <w:rPr>
          <w:rFonts w:hint="eastAsia" w:ascii="仿宋" w:hAnsi="仿宋" w:eastAsia="仿宋" w:cs="仿宋"/>
          <w:szCs w:val="32"/>
        </w:rPr>
        <w:t>：</w:t>
      </w:r>
    </w:p>
    <w:p w14:paraId="22ADF27B">
      <w:pPr>
        <w:ind w:firstLine="632" w:firstLineChars="200"/>
        <w:jc w:val="both"/>
        <w:rPr>
          <w:rFonts w:hint="eastAsia" w:ascii="仿宋" w:hAnsi="仿宋" w:eastAsia="仿宋" w:cs="仿宋"/>
          <w:szCs w:val="32"/>
        </w:rPr>
      </w:pPr>
      <w:r>
        <w:rPr>
          <w:rFonts w:hint="eastAsia" w:ascii="仿宋" w:hAnsi="仿宋" w:eastAsia="仿宋" w:cs="仿宋"/>
          <w:szCs w:val="32"/>
        </w:rPr>
        <w:t>警告、取消若干场次竞赛执裁资格、暂停执裁资格一至二年、降低技术等级、撤销技术等级、终身禁止执裁资格</w:t>
      </w:r>
      <w:r>
        <w:rPr>
          <w:rFonts w:hint="eastAsia" w:ascii="仿宋" w:hAnsi="仿宋" w:eastAsia="仿宋" w:cs="仿宋"/>
          <w:szCs w:val="32"/>
          <w:lang w:val="en-US"/>
        </w:rPr>
        <w:t>等</w:t>
      </w:r>
      <w:r>
        <w:rPr>
          <w:rFonts w:hint="eastAsia" w:ascii="仿宋" w:hAnsi="仿宋" w:eastAsia="仿宋" w:cs="仿宋"/>
          <w:szCs w:val="32"/>
        </w:rPr>
        <w:t>。</w:t>
      </w:r>
    </w:p>
    <w:p w14:paraId="063C0CFD">
      <w:pPr>
        <w:pStyle w:val="33"/>
        <w:numPr>
          <w:ilvl w:val="0"/>
          <w:numId w:val="1"/>
        </w:numPr>
        <w:jc w:val="both"/>
        <w:rPr>
          <w:rFonts w:hint="eastAsia" w:ascii="仿宋" w:hAnsi="仿宋" w:eastAsia="仿宋" w:cs="仿宋"/>
          <w:szCs w:val="32"/>
        </w:rPr>
      </w:pPr>
      <w:r>
        <w:rPr>
          <w:rFonts w:hint="eastAsia" w:ascii="仿宋" w:hAnsi="仿宋" w:eastAsia="仿宋" w:cs="仿宋"/>
          <w:szCs w:val="32"/>
        </w:rPr>
        <w:t>对违规违纪裁判员的处罚条件：</w:t>
      </w:r>
    </w:p>
    <w:p w14:paraId="48CAF125">
      <w:pPr>
        <w:ind w:firstLine="632" w:firstLineChars="200"/>
        <w:jc w:val="both"/>
        <w:rPr>
          <w:rFonts w:hint="eastAsia" w:ascii="仿宋" w:hAnsi="仿宋" w:eastAsia="仿宋" w:cs="仿宋"/>
          <w:szCs w:val="32"/>
        </w:rPr>
      </w:pPr>
      <w:r>
        <w:rPr>
          <w:rFonts w:hint="eastAsia" w:ascii="仿宋" w:hAnsi="仿宋" w:eastAsia="仿宋" w:cs="仿宋"/>
          <w:szCs w:val="32"/>
        </w:rPr>
        <w:t>（一）警告：在赛区工作期间不遵守赛区纪律的；无故未按时到赛区报到的；不参加裁判学习、现场实践等活动的；裁判员到赛区报到后，未经批准擅自离开赛区的；在赛区工作期间，发生</w:t>
      </w:r>
      <w:r>
        <w:rPr>
          <w:rFonts w:hint="eastAsia" w:ascii="仿宋" w:hAnsi="仿宋" w:eastAsia="仿宋" w:cs="仿宋"/>
          <w:szCs w:val="32"/>
          <w:lang w:eastAsia="zh-Hans"/>
        </w:rPr>
        <w:t>影响竞赛正常进行</w:t>
      </w:r>
      <w:r>
        <w:rPr>
          <w:rFonts w:hint="eastAsia" w:ascii="仿宋" w:hAnsi="仿宋" w:eastAsia="仿宋" w:cs="仿宋"/>
          <w:szCs w:val="32"/>
        </w:rPr>
        <w:t>行为的；在临场执裁中造成漏判、错判的。</w:t>
      </w:r>
    </w:p>
    <w:p w14:paraId="2C91EADD">
      <w:pPr>
        <w:ind w:firstLine="632" w:firstLineChars="200"/>
        <w:jc w:val="both"/>
        <w:rPr>
          <w:rFonts w:hint="eastAsia" w:ascii="仿宋" w:hAnsi="仿宋" w:eastAsia="仿宋" w:cs="仿宋"/>
          <w:szCs w:val="32"/>
        </w:rPr>
      </w:pPr>
      <w:r>
        <w:rPr>
          <w:rFonts w:hint="eastAsia" w:ascii="仿宋" w:hAnsi="仿宋" w:eastAsia="仿宋" w:cs="仿宋"/>
          <w:szCs w:val="32"/>
        </w:rPr>
        <w:t>（二）取消若干场次执裁资格：在同一</w:t>
      </w:r>
      <w:r>
        <w:rPr>
          <w:rFonts w:hint="eastAsia" w:ascii="仿宋" w:hAnsi="仿宋" w:eastAsia="仿宋" w:cs="仿宋"/>
          <w:szCs w:val="32"/>
          <w:lang w:val="en-US"/>
        </w:rPr>
        <w:t>场比</w:t>
      </w:r>
      <w:r>
        <w:rPr>
          <w:rFonts w:hint="eastAsia" w:ascii="仿宋" w:hAnsi="仿宋" w:eastAsia="仿宋" w:cs="仿宋"/>
          <w:szCs w:val="32"/>
        </w:rPr>
        <w:t>赛中受到两次警告的。</w:t>
      </w:r>
    </w:p>
    <w:p w14:paraId="74EBF2A1">
      <w:pPr>
        <w:ind w:firstLine="632" w:firstLineChars="200"/>
        <w:jc w:val="both"/>
        <w:rPr>
          <w:rFonts w:hint="eastAsia" w:ascii="仿宋" w:hAnsi="仿宋" w:eastAsia="仿宋" w:cs="仿宋"/>
          <w:szCs w:val="32"/>
        </w:rPr>
      </w:pPr>
      <w:r>
        <w:rPr>
          <w:rFonts w:hint="eastAsia" w:ascii="仿宋" w:hAnsi="仿宋" w:eastAsia="仿宋" w:cs="仿宋"/>
          <w:szCs w:val="32"/>
        </w:rPr>
        <w:t>（三）暂停执裁资格</w:t>
      </w:r>
      <w:r>
        <w:rPr>
          <w:rFonts w:hint="eastAsia" w:ascii="仿宋" w:hAnsi="仿宋" w:eastAsia="仿宋" w:cs="仿宋"/>
          <w:szCs w:val="32"/>
          <w:lang w:val="en-US"/>
        </w:rPr>
        <w:t>一至二</w:t>
      </w:r>
      <w:r>
        <w:rPr>
          <w:rFonts w:hint="eastAsia" w:ascii="仿宋" w:hAnsi="仿宋" w:eastAsia="仿宋" w:cs="仿宋"/>
          <w:szCs w:val="32"/>
        </w:rPr>
        <w:t>年：在赛区有酗酒滋事、影响竞赛公正等不良行为的；在执裁中多次出现错判、漏判较大工作失误，造成不良影响的。</w:t>
      </w:r>
    </w:p>
    <w:p w14:paraId="1AC7FC3B">
      <w:pPr>
        <w:ind w:firstLine="632" w:firstLineChars="200"/>
        <w:jc w:val="both"/>
        <w:rPr>
          <w:rFonts w:hint="eastAsia" w:ascii="仿宋" w:hAnsi="仿宋" w:eastAsia="仿宋" w:cs="仿宋"/>
          <w:szCs w:val="32"/>
        </w:rPr>
      </w:pPr>
      <w:r>
        <w:rPr>
          <w:rFonts w:hint="eastAsia" w:ascii="仿宋" w:hAnsi="仿宋" w:eastAsia="仿宋" w:cs="仿宋"/>
          <w:szCs w:val="32"/>
        </w:rPr>
        <w:t>（四）降低、撤销技术等级资格：</w:t>
      </w:r>
      <w:r>
        <w:rPr>
          <w:rFonts w:hint="eastAsia" w:ascii="仿宋" w:hAnsi="仿宋" w:eastAsia="仿宋" w:cs="仿宋"/>
          <w:szCs w:val="32"/>
          <w:lang w:val="en-US"/>
        </w:rPr>
        <w:t>执裁中</w:t>
      </w:r>
      <w:r>
        <w:rPr>
          <w:rFonts w:hint="eastAsia" w:ascii="仿宋" w:hAnsi="仿宋" w:eastAsia="仿宋" w:cs="仿宋"/>
          <w:szCs w:val="32"/>
        </w:rPr>
        <w:t>多次出现错判、漏判重大失误，在竞赛中执裁不公、有意偏袒、妨碍公正执裁，造成较大不良影响的。</w:t>
      </w:r>
    </w:p>
    <w:p w14:paraId="05243316">
      <w:pPr>
        <w:ind w:firstLine="632" w:firstLineChars="200"/>
        <w:jc w:val="both"/>
        <w:rPr>
          <w:rFonts w:hint="eastAsia" w:ascii="仿宋" w:hAnsi="仿宋" w:eastAsia="仿宋" w:cs="仿宋"/>
          <w:szCs w:val="32"/>
        </w:rPr>
      </w:pPr>
      <w:r>
        <w:rPr>
          <w:rFonts w:hint="eastAsia" w:ascii="仿宋" w:hAnsi="仿宋" w:eastAsia="仿宋" w:cs="仿宋"/>
          <w:szCs w:val="32"/>
        </w:rPr>
        <w:t>（五）终身禁止执裁资格：多次出现明显错判、漏判等重大失误，暗箱交易操控竞赛结果，导致赛场严重失控；经查实参与假赛、暗箱交易、操控竞赛、赌博、收送钱物等非法行为；以及其他非法行为并造成恶劣影响的。</w:t>
      </w:r>
    </w:p>
    <w:p w14:paraId="58C889B0">
      <w:pPr>
        <w:ind w:firstLine="632" w:firstLineChars="200"/>
        <w:jc w:val="both"/>
        <w:rPr>
          <w:rFonts w:hint="eastAsia" w:ascii="仿宋" w:hAnsi="仿宋" w:eastAsia="仿宋" w:cs="仿宋"/>
          <w:szCs w:val="32"/>
        </w:rPr>
      </w:pPr>
    </w:p>
    <w:p w14:paraId="47E88264">
      <w:pPr>
        <w:pStyle w:val="2"/>
        <w:rPr>
          <w:rFonts w:hint="eastAsia" w:ascii="黑体" w:hAnsi="黑体" w:eastAsia="黑体" w:cs="黑体"/>
          <w:szCs w:val="32"/>
        </w:rPr>
      </w:pPr>
      <w:r>
        <w:rPr>
          <w:rFonts w:hint="eastAsia" w:ascii="黑体" w:hAnsi="黑体" w:eastAsia="黑体" w:cs="黑体"/>
          <w:szCs w:val="32"/>
        </w:rPr>
        <w:t>第八章</w:t>
      </w:r>
      <w:r>
        <w:rPr>
          <w:rFonts w:hint="eastAsia" w:ascii="黑体" w:hAnsi="黑体" w:eastAsia="黑体" w:cs="黑体"/>
          <w:szCs w:val="32"/>
          <w:lang w:val="en-US"/>
        </w:rPr>
        <w:t xml:space="preserve">  </w:t>
      </w:r>
      <w:r>
        <w:rPr>
          <w:rFonts w:hint="eastAsia" w:ascii="黑体" w:hAnsi="黑体" w:eastAsia="黑体" w:cs="黑体"/>
          <w:szCs w:val="32"/>
        </w:rPr>
        <w:t>附</w:t>
      </w:r>
      <w:r>
        <w:rPr>
          <w:rFonts w:hint="eastAsia" w:ascii="黑体" w:hAnsi="黑体" w:eastAsia="黑体" w:cs="黑体"/>
          <w:szCs w:val="32"/>
          <w:lang w:val="en-US"/>
        </w:rPr>
        <w:t xml:space="preserve">  </w:t>
      </w:r>
      <w:r>
        <w:rPr>
          <w:rFonts w:hint="eastAsia" w:ascii="黑体" w:hAnsi="黑体" w:eastAsia="黑体" w:cs="黑体"/>
          <w:szCs w:val="32"/>
        </w:rPr>
        <w:t>则</w:t>
      </w:r>
    </w:p>
    <w:p w14:paraId="3DDF14AA">
      <w:pPr>
        <w:ind w:firstLine="632" w:firstLineChars="200"/>
        <w:jc w:val="both"/>
        <w:rPr>
          <w:rFonts w:hint="eastAsia" w:ascii="仿宋" w:hAnsi="仿宋" w:eastAsia="仿宋" w:cs="仿宋"/>
          <w:szCs w:val="32"/>
        </w:rPr>
      </w:pPr>
      <w:r>
        <w:rPr>
          <w:rFonts w:hint="eastAsia" w:ascii="仿宋" w:hAnsi="仿宋" w:eastAsia="仿宋" w:cs="仿宋"/>
          <w:b/>
          <w:bCs/>
          <w:szCs w:val="32"/>
          <w:lang w:val="en-US"/>
        </w:rPr>
        <w:t>第二十五条</w:t>
      </w:r>
      <w:r>
        <w:rPr>
          <w:rFonts w:hint="eastAsia" w:ascii="仿宋" w:hAnsi="仿宋" w:eastAsia="仿宋" w:cs="仿宋"/>
          <w:szCs w:val="32"/>
          <w:lang w:val="en-US"/>
        </w:rPr>
        <w:t xml:space="preserve"> </w:t>
      </w:r>
      <w:r>
        <w:rPr>
          <w:rFonts w:hint="eastAsia" w:ascii="仿宋" w:hAnsi="仿宋" w:eastAsia="仿宋" w:cs="仿宋"/>
          <w:szCs w:val="32"/>
        </w:rPr>
        <w:t>本办法</w:t>
      </w:r>
      <w:r>
        <w:rPr>
          <w:rFonts w:hint="eastAsia" w:ascii="仿宋" w:hAnsi="仿宋" w:eastAsia="仿宋" w:cs="仿宋"/>
        </w:rPr>
        <w:t>由</w:t>
      </w:r>
      <w:r>
        <w:rPr>
          <w:rFonts w:hint="eastAsia" w:ascii="仿宋" w:hAnsi="仿宋" w:eastAsia="仿宋" w:cs="仿宋"/>
          <w:lang w:val="en-US"/>
        </w:rPr>
        <w:t>社体</w:t>
      </w:r>
      <w:r>
        <w:rPr>
          <w:rFonts w:hint="eastAsia" w:ascii="仿宋" w:hAnsi="仿宋" w:eastAsia="仿宋" w:cs="仿宋"/>
        </w:rPr>
        <w:t>中心负责解释和修订，</w:t>
      </w:r>
      <w:r>
        <w:rPr>
          <w:rFonts w:hint="eastAsia" w:ascii="仿宋" w:hAnsi="仿宋" w:eastAsia="仿宋" w:cs="仿宋"/>
          <w:color w:val="000000" w:themeColor="text1"/>
          <w14:textFill>
            <w14:solidFill>
              <w14:schemeClr w14:val="tx1"/>
            </w14:solidFill>
          </w14:textFill>
        </w:rPr>
        <w:t>自公布之日起实施。</w:t>
      </w:r>
    </w:p>
    <w:sectPr>
      <w:footerReference r:id="rId6" w:type="first"/>
      <w:footerReference r:id="rId5" w:type="default"/>
      <w:pgSz w:w="11910" w:h="16840"/>
      <w:pgMar w:top="2041" w:right="1531" w:bottom="2154" w:left="1587" w:header="720" w:footer="720" w:gutter="0"/>
      <w:pgNumType w:start="1"/>
      <w:cols w:space="720" w:num="1"/>
      <w:titlePg/>
      <w:docGrid w:type="linesAndChars" w:linePitch="579"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C9F6">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725D">
    <w:pPr>
      <w:pStyle w:val="11"/>
      <w:jc w:val="both"/>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545EA6"/>
    <w:multiLevelType w:val="multilevel"/>
    <w:tmpl w:val="50545EA6"/>
    <w:lvl w:ilvl="0" w:tentative="0">
      <w:start w:val="1"/>
      <w:numFmt w:val="chineseCountingThousand"/>
      <w:suff w:val="nothing"/>
      <w:lvlText w:val="(%1)"/>
      <w:lvlJc w:val="left"/>
      <w:pPr>
        <w:ind w:left="0" w:firstLine="0"/>
      </w:pPr>
      <w:rPr>
        <w:rFonts w:hint="default"/>
      </w:rPr>
    </w:lvl>
    <w:lvl w:ilvl="1" w:tentative="0">
      <w:start w:val="1"/>
      <w:numFmt w:val="lowerLetter"/>
      <w:lvlText w:val="%2)"/>
      <w:lvlJc w:val="left"/>
      <w:pPr>
        <w:ind w:left="1512" w:hanging="440"/>
      </w:pPr>
    </w:lvl>
    <w:lvl w:ilvl="2" w:tentative="0">
      <w:start w:val="1"/>
      <w:numFmt w:val="lowerRoman"/>
      <w:lvlText w:val="%3."/>
      <w:lvlJc w:val="right"/>
      <w:pPr>
        <w:ind w:left="1952" w:hanging="440"/>
      </w:pPr>
    </w:lvl>
    <w:lvl w:ilvl="3" w:tentative="0">
      <w:start w:val="1"/>
      <w:numFmt w:val="decimal"/>
      <w:lvlText w:val="%4."/>
      <w:lvlJc w:val="left"/>
      <w:pPr>
        <w:ind w:left="2392" w:hanging="440"/>
      </w:pPr>
    </w:lvl>
    <w:lvl w:ilvl="4" w:tentative="0">
      <w:start w:val="1"/>
      <w:numFmt w:val="lowerLetter"/>
      <w:lvlText w:val="%5)"/>
      <w:lvlJc w:val="left"/>
      <w:pPr>
        <w:ind w:left="2832" w:hanging="440"/>
      </w:pPr>
    </w:lvl>
    <w:lvl w:ilvl="5" w:tentative="0">
      <w:start w:val="1"/>
      <w:numFmt w:val="lowerRoman"/>
      <w:lvlText w:val="%6."/>
      <w:lvlJc w:val="right"/>
      <w:pPr>
        <w:ind w:left="3272" w:hanging="440"/>
      </w:pPr>
    </w:lvl>
    <w:lvl w:ilvl="6" w:tentative="0">
      <w:start w:val="1"/>
      <w:numFmt w:val="decimal"/>
      <w:lvlText w:val="%7."/>
      <w:lvlJc w:val="left"/>
      <w:pPr>
        <w:ind w:left="3712" w:hanging="440"/>
      </w:pPr>
    </w:lvl>
    <w:lvl w:ilvl="7" w:tentative="0">
      <w:start w:val="1"/>
      <w:numFmt w:val="lowerLetter"/>
      <w:lvlText w:val="%8)"/>
      <w:lvlJc w:val="left"/>
      <w:pPr>
        <w:ind w:left="4152" w:hanging="440"/>
      </w:pPr>
    </w:lvl>
    <w:lvl w:ilvl="8" w:tentative="0">
      <w:start w:val="1"/>
      <w:numFmt w:val="lowerRoman"/>
      <w:lvlText w:val="%9."/>
      <w:lvlJc w:val="right"/>
      <w:pPr>
        <w:ind w:left="4592" w:hanging="440"/>
      </w:pPr>
    </w:lvl>
  </w:abstractNum>
  <w:abstractNum w:abstractNumId="1">
    <w:nsid w:val="633E1CC6"/>
    <w:multiLevelType w:val="multilevel"/>
    <w:tmpl w:val="633E1CC6"/>
    <w:lvl w:ilvl="0" w:tentative="0">
      <w:start w:val="1"/>
      <w:numFmt w:val="japaneseCounting"/>
      <w:lvlText w:val="第%1条"/>
      <w:lvlJc w:val="left"/>
      <w:pPr>
        <w:ind w:left="1149" w:hanging="440"/>
      </w:pPr>
      <w:rPr>
        <w:rFonts w:hint="eastAsia" w:ascii="仿宋" w:hAnsi="仿宋" w:eastAsia="仿宋" w:cs="仿宋"/>
        <w:b/>
        <w:bCs w:val="0"/>
      </w:rPr>
    </w:lvl>
    <w:lvl w:ilvl="1" w:tentative="0">
      <w:start w:val="1"/>
      <w:numFmt w:val="lowerLetter"/>
      <w:lvlText w:val="%2)"/>
      <w:lvlJc w:val="left"/>
      <w:pPr>
        <w:ind w:left="1731" w:hanging="440"/>
      </w:pPr>
    </w:lvl>
    <w:lvl w:ilvl="2" w:tentative="0">
      <w:start w:val="1"/>
      <w:numFmt w:val="lowerRoman"/>
      <w:lvlText w:val="%3."/>
      <w:lvlJc w:val="right"/>
      <w:pPr>
        <w:ind w:left="2171" w:hanging="440"/>
      </w:pPr>
    </w:lvl>
    <w:lvl w:ilvl="3" w:tentative="0">
      <w:start w:val="1"/>
      <w:numFmt w:val="decimal"/>
      <w:lvlText w:val="%4."/>
      <w:lvlJc w:val="left"/>
      <w:pPr>
        <w:ind w:left="2611" w:hanging="440"/>
      </w:pPr>
    </w:lvl>
    <w:lvl w:ilvl="4" w:tentative="0">
      <w:start w:val="1"/>
      <w:numFmt w:val="lowerLetter"/>
      <w:lvlText w:val="%5)"/>
      <w:lvlJc w:val="left"/>
      <w:pPr>
        <w:ind w:left="3051" w:hanging="440"/>
      </w:pPr>
    </w:lvl>
    <w:lvl w:ilvl="5" w:tentative="0">
      <w:start w:val="1"/>
      <w:numFmt w:val="lowerRoman"/>
      <w:lvlText w:val="%6."/>
      <w:lvlJc w:val="right"/>
      <w:pPr>
        <w:ind w:left="3491" w:hanging="440"/>
      </w:pPr>
    </w:lvl>
    <w:lvl w:ilvl="6" w:tentative="0">
      <w:start w:val="1"/>
      <w:numFmt w:val="decimal"/>
      <w:lvlText w:val="%7."/>
      <w:lvlJc w:val="left"/>
      <w:pPr>
        <w:ind w:left="3931" w:hanging="440"/>
      </w:pPr>
    </w:lvl>
    <w:lvl w:ilvl="7" w:tentative="0">
      <w:start w:val="1"/>
      <w:numFmt w:val="lowerLetter"/>
      <w:lvlText w:val="%8)"/>
      <w:lvlJc w:val="left"/>
      <w:pPr>
        <w:ind w:left="4371" w:hanging="440"/>
      </w:pPr>
    </w:lvl>
    <w:lvl w:ilvl="8" w:tentative="0">
      <w:start w:val="1"/>
      <w:numFmt w:val="lowerRoman"/>
      <w:lvlText w:val="%9."/>
      <w:lvlJc w:val="right"/>
      <w:pPr>
        <w:ind w:left="4811"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58"/>
  <w:drawingGridVerticalSpacing w:val="57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BE"/>
    <w:rsid w:val="000246A1"/>
    <w:rsid w:val="00044B8C"/>
    <w:rsid w:val="0009322E"/>
    <w:rsid w:val="000D7A0E"/>
    <w:rsid w:val="000E53D5"/>
    <w:rsid w:val="000F206E"/>
    <w:rsid w:val="000F28DD"/>
    <w:rsid w:val="001324C3"/>
    <w:rsid w:val="00135169"/>
    <w:rsid w:val="00146356"/>
    <w:rsid w:val="00154057"/>
    <w:rsid w:val="001A3516"/>
    <w:rsid w:val="001C7D2A"/>
    <w:rsid w:val="001E29FE"/>
    <w:rsid w:val="0020731A"/>
    <w:rsid w:val="00223943"/>
    <w:rsid w:val="0024646C"/>
    <w:rsid w:val="002816C8"/>
    <w:rsid w:val="00291D53"/>
    <w:rsid w:val="00295016"/>
    <w:rsid w:val="002D3092"/>
    <w:rsid w:val="002D44B7"/>
    <w:rsid w:val="002E1E8B"/>
    <w:rsid w:val="002E33C4"/>
    <w:rsid w:val="003162E1"/>
    <w:rsid w:val="00343600"/>
    <w:rsid w:val="00361A0E"/>
    <w:rsid w:val="003A2011"/>
    <w:rsid w:val="003A62F9"/>
    <w:rsid w:val="003D6E83"/>
    <w:rsid w:val="00415638"/>
    <w:rsid w:val="0043284B"/>
    <w:rsid w:val="00486452"/>
    <w:rsid w:val="004A5595"/>
    <w:rsid w:val="004B7B40"/>
    <w:rsid w:val="004C143E"/>
    <w:rsid w:val="004C4146"/>
    <w:rsid w:val="00501246"/>
    <w:rsid w:val="005063C6"/>
    <w:rsid w:val="00507D08"/>
    <w:rsid w:val="00543278"/>
    <w:rsid w:val="005654C3"/>
    <w:rsid w:val="00573E7B"/>
    <w:rsid w:val="00577320"/>
    <w:rsid w:val="00582563"/>
    <w:rsid w:val="0059201F"/>
    <w:rsid w:val="00596675"/>
    <w:rsid w:val="00597DAC"/>
    <w:rsid w:val="005B5C9F"/>
    <w:rsid w:val="005E5467"/>
    <w:rsid w:val="005F139C"/>
    <w:rsid w:val="005F17F8"/>
    <w:rsid w:val="0061058F"/>
    <w:rsid w:val="00644C07"/>
    <w:rsid w:val="00673887"/>
    <w:rsid w:val="00673989"/>
    <w:rsid w:val="0069794E"/>
    <w:rsid w:val="006A3FCC"/>
    <w:rsid w:val="006A41AE"/>
    <w:rsid w:val="006B597D"/>
    <w:rsid w:val="006D5F08"/>
    <w:rsid w:val="006F01D7"/>
    <w:rsid w:val="00707D07"/>
    <w:rsid w:val="0073432F"/>
    <w:rsid w:val="007349B1"/>
    <w:rsid w:val="00742C82"/>
    <w:rsid w:val="0075421A"/>
    <w:rsid w:val="007567CC"/>
    <w:rsid w:val="00761F20"/>
    <w:rsid w:val="007A67BF"/>
    <w:rsid w:val="007B35B7"/>
    <w:rsid w:val="007C322A"/>
    <w:rsid w:val="007D0104"/>
    <w:rsid w:val="007E4338"/>
    <w:rsid w:val="007F11BE"/>
    <w:rsid w:val="00867558"/>
    <w:rsid w:val="00882FCF"/>
    <w:rsid w:val="008C46A3"/>
    <w:rsid w:val="008D2379"/>
    <w:rsid w:val="008E342F"/>
    <w:rsid w:val="008E3966"/>
    <w:rsid w:val="008E6468"/>
    <w:rsid w:val="00906016"/>
    <w:rsid w:val="0090711A"/>
    <w:rsid w:val="009252DB"/>
    <w:rsid w:val="0093531D"/>
    <w:rsid w:val="00955F6B"/>
    <w:rsid w:val="00963BEF"/>
    <w:rsid w:val="00964962"/>
    <w:rsid w:val="00977CBC"/>
    <w:rsid w:val="009A285D"/>
    <w:rsid w:val="009D0A99"/>
    <w:rsid w:val="009F46EA"/>
    <w:rsid w:val="009F6C19"/>
    <w:rsid w:val="00A168F8"/>
    <w:rsid w:val="00A214E4"/>
    <w:rsid w:val="00A23C0C"/>
    <w:rsid w:val="00A541A8"/>
    <w:rsid w:val="00AA2404"/>
    <w:rsid w:val="00AD5FD5"/>
    <w:rsid w:val="00B07F2B"/>
    <w:rsid w:val="00B1535D"/>
    <w:rsid w:val="00B1776D"/>
    <w:rsid w:val="00B25359"/>
    <w:rsid w:val="00B526C5"/>
    <w:rsid w:val="00B547F3"/>
    <w:rsid w:val="00B81107"/>
    <w:rsid w:val="00B84A23"/>
    <w:rsid w:val="00B95D64"/>
    <w:rsid w:val="00BB4169"/>
    <w:rsid w:val="00BB4CE2"/>
    <w:rsid w:val="00BB71FC"/>
    <w:rsid w:val="00BF61C2"/>
    <w:rsid w:val="00C03327"/>
    <w:rsid w:val="00C03B96"/>
    <w:rsid w:val="00C250B2"/>
    <w:rsid w:val="00C7501C"/>
    <w:rsid w:val="00C834A7"/>
    <w:rsid w:val="00CB1700"/>
    <w:rsid w:val="00CB58C4"/>
    <w:rsid w:val="00CF2DEA"/>
    <w:rsid w:val="00CF54A9"/>
    <w:rsid w:val="00CF55DF"/>
    <w:rsid w:val="00D03635"/>
    <w:rsid w:val="00D056D9"/>
    <w:rsid w:val="00D31959"/>
    <w:rsid w:val="00D45CAF"/>
    <w:rsid w:val="00D468CF"/>
    <w:rsid w:val="00D5386C"/>
    <w:rsid w:val="00D53E48"/>
    <w:rsid w:val="00D853E4"/>
    <w:rsid w:val="00D862BD"/>
    <w:rsid w:val="00D93F86"/>
    <w:rsid w:val="00DD4B07"/>
    <w:rsid w:val="00DD7098"/>
    <w:rsid w:val="00DE658F"/>
    <w:rsid w:val="00E11724"/>
    <w:rsid w:val="00E4523E"/>
    <w:rsid w:val="00E560E2"/>
    <w:rsid w:val="00E9169C"/>
    <w:rsid w:val="00EA5A4C"/>
    <w:rsid w:val="00EB1BBC"/>
    <w:rsid w:val="00EC55FD"/>
    <w:rsid w:val="00F30810"/>
    <w:rsid w:val="00F40449"/>
    <w:rsid w:val="00F75778"/>
    <w:rsid w:val="00FC4D81"/>
    <w:rsid w:val="00FC7F11"/>
    <w:rsid w:val="205B097A"/>
    <w:rsid w:val="26243108"/>
    <w:rsid w:val="339C11B2"/>
    <w:rsid w:val="37DD68A0"/>
    <w:rsid w:val="47915F76"/>
    <w:rsid w:val="58141AD9"/>
    <w:rsid w:val="5A24129E"/>
    <w:rsid w:val="5D79209D"/>
    <w:rsid w:val="65EA3E81"/>
    <w:rsid w:val="68772D77"/>
    <w:rsid w:val="6C6750DB"/>
    <w:rsid w:val="7FF14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600" w:lineRule="exact"/>
      <w:jc w:val="center"/>
    </w:pPr>
    <w:rPr>
      <w:rFonts w:ascii="Times New Roman" w:hAnsi="Times New Roman" w:eastAsia="方正仿宋_GBK" w:cs="宋体"/>
      <w:sz w:val="32"/>
      <w:szCs w:val="22"/>
      <w:lang w:val="zh-CN" w:eastAsia="zh-CN" w:bidi="zh-CN"/>
    </w:rPr>
  </w:style>
  <w:style w:type="paragraph" w:styleId="2">
    <w:name w:val="heading 1"/>
    <w:basedOn w:val="1"/>
    <w:next w:val="1"/>
    <w:link w:val="20"/>
    <w:qFormat/>
    <w:uiPriority w:val="0"/>
    <w:pPr>
      <w:outlineLvl w:val="0"/>
    </w:pPr>
    <w:rPr>
      <w:rFonts w:eastAsia="方正黑体_GBK" w:cstheme="minorBidi"/>
      <w:bCs/>
      <w:szCs w:val="44"/>
    </w:rPr>
  </w:style>
  <w:style w:type="paragraph" w:styleId="3">
    <w:name w:val="heading 2"/>
    <w:basedOn w:val="1"/>
    <w:next w:val="1"/>
    <w:link w:val="21"/>
    <w:unhideWhenUsed/>
    <w:qFormat/>
    <w:uiPriority w:val="0"/>
    <w:pPr>
      <w:adjustRightInd w:val="0"/>
      <w:snapToGrid w:val="0"/>
      <w:outlineLvl w:val="1"/>
    </w:pPr>
    <w:rPr>
      <w:rFonts w:eastAsia="方正楷体_GBK" w:asciiTheme="majorHAnsi" w:hAnsiTheme="majorHAnsi" w:cstheme="majorBidi"/>
      <w:bCs/>
      <w:szCs w:val="32"/>
    </w:rPr>
  </w:style>
  <w:style w:type="paragraph" w:styleId="4">
    <w:name w:val="heading 3"/>
    <w:basedOn w:val="1"/>
    <w:next w:val="1"/>
    <w:link w:val="23"/>
    <w:unhideWhenUsed/>
    <w:qFormat/>
    <w:uiPriority w:val="0"/>
    <w:pPr>
      <w:keepNext/>
      <w:keepLines/>
      <w:outlineLvl w:val="2"/>
    </w:pPr>
    <w:rPr>
      <w:rFonts w:cstheme="minorBidi"/>
      <w:b/>
      <w:bCs/>
      <w:szCs w:val="32"/>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autoRedefine/>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12">
    <w:name w:val="header"/>
    <w:basedOn w:val="1"/>
    <w:link w:val="40"/>
    <w:unhideWhenUsed/>
    <w:qFormat/>
    <w:uiPriority w:val="99"/>
    <w:pPr>
      <w:tabs>
        <w:tab w:val="center" w:pos="4153"/>
        <w:tab w:val="right" w:pos="8306"/>
      </w:tabs>
      <w:snapToGrid w:val="0"/>
    </w:pPr>
    <w:rPr>
      <w:sz w:val="18"/>
      <w:szCs w:val="18"/>
    </w:rPr>
  </w:style>
  <w:style w:type="paragraph" w:styleId="13">
    <w:name w:val="toc 1"/>
    <w:basedOn w:val="1"/>
    <w:next w:val="1"/>
    <w:unhideWhenUsed/>
    <w:qFormat/>
    <w:uiPriority w:val="39"/>
    <w:pPr>
      <w:tabs>
        <w:tab w:val="right" w:leader="dot" w:pos="8834"/>
      </w:tabs>
      <w:snapToGrid w:val="0"/>
      <w:spacing w:line="520" w:lineRule="exact"/>
    </w:pPr>
    <w:rPr>
      <w:rFonts w:eastAsia="方正楷体_GBK"/>
      <w:sz w:val="24"/>
    </w:rPr>
  </w:style>
  <w:style w:type="paragraph" w:styleId="14">
    <w:name w:val="Subtitle"/>
    <w:basedOn w:val="1"/>
    <w:next w:val="1"/>
    <w:link w:val="24"/>
    <w:qFormat/>
    <w:uiPriority w:val="11"/>
    <w:pPr>
      <w:snapToGrid w:val="0"/>
      <w:spacing w:line="520" w:lineRule="exact"/>
      <w:ind w:firstLine="200" w:firstLineChars="200"/>
    </w:pPr>
    <w:rPr>
      <w:rFonts w:eastAsia="方正楷体_GBK" w:cstheme="majorBidi"/>
      <w:spacing w:val="15"/>
      <w:sz w:val="28"/>
      <w:szCs w:val="28"/>
    </w:rPr>
  </w:style>
  <w:style w:type="paragraph" w:styleId="15">
    <w:name w:val="toc 2"/>
    <w:basedOn w:val="1"/>
    <w:next w:val="1"/>
    <w:unhideWhenUsed/>
    <w:qFormat/>
    <w:uiPriority w:val="39"/>
    <w:pPr>
      <w:snapToGrid w:val="0"/>
      <w:spacing w:line="520" w:lineRule="exact"/>
      <w:ind w:left="200" w:leftChars="200"/>
    </w:pPr>
    <w:rPr>
      <w:rFonts w:eastAsia="方正楷体_GBK"/>
      <w:sz w:val="24"/>
    </w:rPr>
  </w:style>
  <w:style w:type="paragraph" w:styleId="16">
    <w:name w:val="Title"/>
    <w:basedOn w:val="17"/>
    <w:next w:val="1"/>
    <w:link w:val="22"/>
    <w:qFormat/>
    <w:uiPriority w:val="0"/>
    <w:pPr>
      <w:spacing w:before="0" w:after="0" w:line="600" w:lineRule="exact"/>
      <w:outlineLvl w:val="0"/>
    </w:pPr>
    <w:rPr>
      <w:rFonts w:eastAsia="方正小标宋_GBK" w:asciiTheme="majorHAnsi" w:hAnsiTheme="majorHAnsi" w:cstheme="majorBidi"/>
      <w:b w:val="0"/>
      <w:bCs/>
      <w:szCs w:val="32"/>
    </w:rPr>
  </w:style>
  <w:style w:type="paragraph" w:customStyle="1" w:styleId="17">
    <w:name w:val="TOC 标题1"/>
    <w:basedOn w:val="2"/>
    <w:next w:val="1"/>
    <w:semiHidden/>
    <w:unhideWhenUsed/>
    <w:qFormat/>
    <w:uiPriority w:val="39"/>
    <w:pPr>
      <w:spacing w:before="340" w:after="330" w:line="578" w:lineRule="auto"/>
      <w:outlineLvl w:val="9"/>
    </w:pPr>
    <w:rPr>
      <w:rFonts w:eastAsia="方正仿宋_GBK" w:cs="Times New Roman"/>
      <w:b/>
      <w:bCs w:val="0"/>
      <w:kern w:val="44"/>
      <w:sz w:val="44"/>
    </w:rPr>
  </w:style>
  <w:style w:type="character" w:customStyle="1" w:styleId="20">
    <w:name w:val="标题 1 字符"/>
    <w:basedOn w:val="19"/>
    <w:link w:val="2"/>
    <w:qFormat/>
    <w:uiPriority w:val="0"/>
    <w:rPr>
      <w:rFonts w:eastAsia="方正黑体_GBK"/>
      <w:bCs/>
      <w:kern w:val="0"/>
      <w:szCs w:val="44"/>
      <w:lang w:val="zh-CN" w:bidi="zh-CN"/>
    </w:rPr>
  </w:style>
  <w:style w:type="character" w:customStyle="1" w:styleId="21">
    <w:name w:val="标题 2 字符"/>
    <w:basedOn w:val="19"/>
    <w:link w:val="3"/>
    <w:qFormat/>
    <w:uiPriority w:val="0"/>
    <w:rPr>
      <w:rFonts w:eastAsia="方正楷体_GBK" w:asciiTheme="majorHAnsi" w:hAnsiTheme="majorHAnsi" w:cstheme="majorBidi"/>
      <w:bCs/>
      <w:szCs w:val="32"/>
    </w:rPr>
  </w:style>
  <w:style w:type="character" w:customStyle="1" w:styleId="22">
    <w:name w:val="标题 字符"/>
    <w:basedOn w:val="19"/>
    <w:link w:val="16"/>
    <w:qFormat/>
    <w:uiPriority w:val="0"/>
    <w:rPr>
      <w:rFonts w:eastAsia="方正小标宋_GBK" w:asciiTheme="majorHAnsi" w:hAnsiTheme="majorHAnsi" w:cstheme="majorBidi"/>
      <w:kern w:val="44"/>
      <w:sz w:val="44"/>
      <w:szCs w:val="32"/>
    </w:rPr>
  </w:style>
  <w:style w:type="character" w:customStyle="1" w:styleId="23">
    <w:name w:val="标题 3 字符"/>
    <w:basedOn w:val="19"/>
    <w:link w:val="4"/>
    <w:qFormat/>
    <w:uiPriority w:val="0"/>
    <w:rPr>
      <w:b/>
      <w:bCs/>
      <w:szCs w:val="32"/>
    </w:rPr>
  </w:style>
  <w:style w:type="character" w:customStyle="1" w:styleId="24">
    <w:name w:val="副标题 字符"/>
    <w:basedOn w:val="19"/>
    <w:link w:val="14"/>
    <w:qFormat/>
    <w:uiPriority w:val="11"/>
    <w:rPr>
      <w:rFonts w:eastAsia="方正楷体_GBK" w:cstheme="majorBidi"/>
      <w:color w:val="000000" w:themeColor="text1"/>
      <w:spacing w:val="15"/>
      <w:sz w:val="28"/>
      <w:szCs w:val="28"/>
      <w14:textFill>
        <w14:solidFill>
          <w14:schemeClr w14:val="tx1"/>
        </w14:solidFill>
      </w14:textFill>
    </w:rPr>
  </w:style>
  <w:style w:type="character" w:customStyle="1" w:styleId="25">
    <w:name w:val="标题 4 字符"/>
    <w:basedOn w:val="19"/>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6">
    <w:name w:val="标题 5 字符"/>
    <w:basedOn w:val="19"/>
    <w:link w:val="6"/>
    <w:semiHidden/>
    <w:qFormat/>
    <w:uiPriority w:val="9"/>
    <w:rPr>
      <w:rFonts w:asciiTheme="minorHAnsi" w:hAnsiTheme="minorHAnsi" w:eastAsiaTheme="minorEastAsia" w:cstheme="majorBidi"/>
      <w:color w:val="104862" w:themeColor="accent1" w:themeShade="BF"/>
      <w:sz w:val="24"/>
    </w:rPr>
  </w:style>
  <w:style w:type="character" w:customStyle="1" w:styleId="27">
    <w:name w:val="标题 6 字符"/>
    <w:basedOn w:val="19"/>
    <w:link w:val="7"/>
    <w:semiHidden/>
    <w:qFormat/>
    <w:uiPriority w:val="9"/>
    <w:rPr>
      <w:rFonts w:asciiTheme="minorHAnsi" w:hAnsiTheme="minorHAnsi" w:eastAsiaTheme="minorEastAsia" w:cstheme="majorBidi"/>
      <w:b/>
      <w:bCs/>
      <w:color w:val="104862" w:themeColor="accent1" w:themeShade="BF"/>
    </w:rPr>
  </w:style>
  <w:style w:type="character" w:customStyle="1" w:styleId="28">
    <w:name w:val="标题 7 字符"/>
    <w:basedOn w:val="19"/>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rFonts w:cs="Times New Roman"/>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pPr>
    <w:rPr>
      <w:i/>
      <w:iCs/>
      <w:color w:val="104862" w:themeColor="accent1" w:themeShade="BF"/>
    </w:rPr>
  </w:style>
  <w:style w:type="character" w:customStyle="1" w:styleId="36">
    <w:name w:val="明显引用 字符"/>
    <w:basedOn w:val="19"/>
    <w:link w:val="35"/>
    <w:qFormat/>
    <w:uiPriority w:val="30"/>
    <w:rPr>
      <w:rFonts w:cs="Times New Roman"/>
      <w:i/>
      <w:iCs/>
      <w:color w:val="104862" w:themeColor="accent1" w:themeShade="BF"/>
    </w:rPr>
  </w:style>
  <w:style w:type="character" w:customStyle="1" w:styleId="37">
    <w:name w:val="明显参考1"/>
    <w:basedOn w:val="19"/>
    <w:qFormat/>
    <w:uiPriority w:val="32"/>
    <w:rPr>
      <w:b/>
      <w:bCs/>
      <w:smallCaps/>
      <w:color w:val="104862" w:themeColor="accent1" w:themeShade="BF"/>
      <w:spacing w:val="5"/>
    </w:rPr>
  </w:style>
  <w:style w:type="character" w:customStyle="1" w:styleId="38">
    <w:name w:val="页脚 字符"/>
    <w:basedOn w:val="19"/>
    <w:link w:val="11"/>
    <w:qFormat/>
    <w:uiPriority w:val="99"/>
    <w:rPr>
      <w:rFonts w:asciiTheme="minorHAnsi" w:hAnsiTheme="minorHAnsi" w:eastAsiaTheme="minorEastAsia"/>
      <w:sz w:val="18"/>
      <w:szCs w:val="18"/>
    </w:rPr>
  </w:style>
  <w:style w:type="paragraph" w:customStyle="1" w:styleId="39">
    <w:name w:val="修订1"/>
    <w:hidden/>
    <w:semiHidden/>
    <w:qFormat/>
    <w:uiPriority w:val="99"/>
    <w:rPr>
      <w:rFonts w:ascii="Times New Roman" w:hAnsi="Times New Roman" w:eastAsia="方正仿宋_GBK" w:cs="宋体"/>
      <w:sz w:val="32"/>
      <w:szCs w:val="22"/>
      <w:lang w:val="zh-CN" w:eastAsia="zh-CN" w:bidi="zh-CN"/>
    </w:rPr>
  </w:style>
  <w:style w:type="character" w:customStyle="1" w:styleId="40">
    <w:name w:val="页眉 字符"/>
    <w:basedOn w:val="19"/>
    <w:link w:val="12"/>
    <w:qFormat/>
    <w:uiPriority w:val="99"/>
    <w:rPr>
      <w:rFonts w:cs="宋体"/>
      <w:kern w:val="0"/>
      <w:sz w:val="18"/>
      <w:szCs w:val="18"/>
      <w:lang w:val="zh-CN" w:bidi="zh-CN"/>
    </w:rPr>
  </w:style>
  <w:style w:type="paragraph" w:customStyle="1" w:styleId="41">
    <w:name w:val="样式1"/>
    <w:basedOn w:val="1"/>
    <w:link w:val="42"/>
    <w:qFormat/>
    <w:uiPriority w:val="0"/>
    <w:pPr>
      <w:ind w:firstLine="632" w:firstLineChars="200"/>
      <w:jc w:val="both"/>
    </w:pPr>
    <w:rPr>
      <w:strike/>
    </w:rPr>
  </w:style>
  <w:style w:type="character" w:customStyle="1" w:styleId="42">
    <w:name w:val="样式1 字符"/>
    <w:basedOn w:val="19"/>
    <w:link w:val="41"/>
    <w:qFormat/>
    <w:uiPriority w:val="0"/>
    <w:rPr>
      <w:rFonts w:cs="宋体"/>
      <w:strike/>
      <w:kern w:val="0"/>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2030</Words>
  <Characters>2032</Characters>
  <Lines>62</Lines>
  <Paragraphs>62</Paragraphs>
  <TotalTime>15</TotalTime>
  <ScaleCrop>false</ScaleCrop>
  <LinksUpToDate>false</LinksUpToDate>
  <CharactersWithSpaces>2053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2024-11-18T06:46:00Z</dcterms:created>
  <dc:creator>耀明 张</dc:creator>
  <cp:lastModifiedBy>o</cp:lastModifiedBy>
  <dcterms:modified xsi:type="dcterms:W3CDTF">2025-07-11T03:30:22Z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eyJoZGlkIjoiMDc4MzcwNDg5OWIyNDAxYmJhMjU3ZWU4ZmRiZDQ0YTIiLCJ1c2VySWQiOiI0NTM2ODQ4MjgifQ==</vt:lpwstr>
  </property>
  <property fmtid="{D5CDD505-2E9C-101B-9397-08002B2CF9AE}" pid="3" name="KSOProductBuildVer">
    <vt:lpwstr>2052-12.1.0.21915</vt:lpwstr>
  </property>
  <property fmtid="{D5CDD505-2E9C-101B-9397-08002B2CF9AE}" pid="4" name="ICV">
    <vt:lpwstr>A9923C28938943F68D76B76DA3BC63F9_13</vt:lpwstr>
  </property>
</Properties>
</file>