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60" w:lineRule="auto"/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eastAsia="仿宋"/>
          <w:b w:val="0"/>
          <w:bCs/>
          <w:color w:val="000000"/>
          <w:sz w:val="32"/>
          <w:szCs w:val="32"/>
          <w:shd w:val="clear" w:color="auto" w:fill="FFFFFF"/>
        </w:rPr>
        <w:t>3</w:t>
      </w: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：</w:t>
      </w:r>
    </w:p>
    <w:p>
      <w:pPr>
        <w:pStyle w:val="7"/>
        <w:tabs>
          <w:tab w:val="left" w:pos="3330"/>
        </w:tabs>
        <w:spacing w:after="120" w:line="500" w:lineRule="exact"/>
        <w:ind w:firstLine="0" w:firstLineChars="0"/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eastAsia="zh-Hans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eastAsia="zh-Hans"/>
        </w:rPr>
        <w:t>全国全民体能大赛城市赛·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Hans"/>
        </w:rPr>
        <w:t>上海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eastAsia="zh-Hans"/>
        </w:rPr>
        <w:t>站仲裁办法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Style w:val="6"/>
          <w:rFonts w:eastAsia="方正小标宋简体"/>
          <w:color w:val="00000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一、组委会将对赛场进行全程录像监控。在比赛过程中，裁判员所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的裁决为最后的判决，选手在场上必须服从裁判的裁决。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二、如对裁判员的判决有异议，须在该场比赛结束成绩公示后30分钟内，向仲裁委员会正式提出申诉。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三、仲裁申诉应以书面形式，由运动员本人签名。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四、仲裁结果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Hans"/>
        </w:rPr>
        <w:t>由仲裁委员会宣布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（一）判定裁判员的判决是正确的，运动队必须坚决服从。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（二）判定属于裁判员的错误，仲裁委员会可视情况对裁判员进行教育或处分，并按实际判罚结果给予申诉人有效成绩的录入。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Hans"/>
        </w:rPr>
        <w:t>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）未在有效时间内提出仲裁的，仲裁委员会可不受理。</w:t>
      </w:r>
    </w:p>
    <w:p>
      <w:pPr>
        <w:pStyle w:val="2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0" w:firstLineChars="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F4AD6"/>
    <w:rsid w:val="6F0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rFonts w:ascii="Times New Roman" w:hAnsi="Times New Roman" w:eastAsia="宋体"/>
      <w:b/>
    </w:rPr>
  </w:style>
  <w:style w:type="paragraph" w:customStyle="1" w:styleId="7">
    <w:name w:val="列表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92046</dc:creator>
  <cp:lastModifiedBy>星空</cp:lastModifiedBy>
  <dcterms:modified xsi:type="dcterms:W3CDTF">2021-07-23T01:13:47Z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96FF13A472EF48099B62313BCF088B1C</vt:lpwstr>
  </property>
</Properties>
</file>