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tabs>
          <w:tab w:val="left" w:pos="1260"/>
        </w:tabs>
        <w:spacing w:beforeAutospacing="0" w:afterAutospacing="0" w:line="360" w:lineRule="auto"/>
        <w:jc w:val="both"/>
        <w:rPr>
          <w:rStyle w:val="8"/>
          <w:rFonts w:eastAsia="仿宋"/>
          <w:b w:val="0"/>
          <w:bCs w:val="0"/>
          <w:color w:val="000000"/>
          <w:sz w:val="32"/>
          <w:szCs w:val="32"/>
          <w:shd w:val="clear" w:color="auto" w:fill="FFFFFF"/>
        </w:rPr>
      </w:pPr>
      <w:bookmarkStart w:id="0" w:name="_GoBack"/>
      <w:r>
        <w:rPr>
          <w:rStyle w:val="8"/>
          <w:rFonts w:eastAsia="仿宋"/>
          <w:b w:val="0"/>
          <w:bCs w:val="0"/>
          <w:color w:val="000000"/>
          <w:sz w:val="32"/>
          <w:szCs w:val="32"/>
          <w:shd w:val="clear" w:color="auto" w:fill="FFFFFF"/>
        </w:rPr>
        <w:t>附件</w:t>
      </w:r>
      <w:r>
        <w:rPr>
          <w:rStyle w:val="8"/>
          <w:rFonts w:hint="eastAsia" w:eastAsia="仿宋"/>
          <w:b w:val="0"/>
          <w:bCs w:val="0"/>
          <w:color w:val="000000"/>
          <w:sz w:val="32"/>
          <w:szCs w:val="32"/>
          <w:shd w:val="clear" w:color="auto" w:fill="FFFFFF"/>
        </w:rPr>
        <w:t>5</w:t>
      </w:r>
      <w:r>
        <w:rPr>
          <w:rStyle w:val="8"/>
          <w:rFonts w:eastAsia="仿宋"/>
          <w:b w:val="0"/>
          <w:bCs w:val="0"/>
          <w:color w:val="000000"/>
          <w:sz w:val="32"/>
          <w:szCs w:val="32"/>
          <w:shd w:val="clear" w:color="auto" w:fill="FFFFFF"/>
        </w:rPr>
        <w:t>：</w:t>
      </w:r>
    </w:p>
    <w:p>
      <w:pPr>
        <w:pStyle w:val="13"/>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val="0"/>
          <w:color w:val="000000"/>
          <w:sz w:val="36"/>
          <w:szCs w:val="36"/>
          <w:shd w:val="clear" w:color="auto" w:fill="FFFFFF"/>
          <w:lang w:eastAsia="zh-Hans"/>
        </w:rPr>
      </w:pPr>
    </w:p>
    <w:p>
      <w:pPr>
        <w:pStyle w:val="13"/>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val="0"/>
          <w:color w:val="000000"/>
          <w:sz w:val="36"/>
          <w:szCs w:val="36"/>
          <w:shd w:val="clear" w:color="auto" w:fill="FFFFFF"/>
          <w:lang w:eastAsia="zh-Hans"/>
        </w:rPr>
      </w:pP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全国全民体能大赛城市赛·武汉站防疫方案</w:t>
      </w:r>
    </w:p>
    <w:bookmarkEnd w:id="0"/>
    <w:p>
      <w:pPr>
        <w:pStyle w:val="2"/>
        <w:ind w:firstLine="0" w:firstLineChars="0"/>
        <w:rPr>
          <w:lang w:eastAsia="zh-Hans"/>
        </w:rPr>
      </w:pP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为保障活动的顺利实施，切实做好疫情防控工作，全面保障参展、参会人员的身体健康和生命安全预防工作，依据《中华人民共和国传染病防治法》、《突发公共卫生事件应急条例》，严格按照国务院联防联控机制印发的《关于科学防治精准施策分区分级做好新冠肺炎疫情防控工作的指导意见》和省、市、区疫情防控办的相关要求开展活动，坚持常态化精准防控和局部应急处置有机结合为原则。特制定疫情防控保障方案：</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一、</w:t>
      </w:r>
      <w:r>
        <w:rPr>
          <w:rFonts w:hint="eastAsia" w:ascii="仿宋" w:hAnsi="仿宋" w:eastAsia="仿宋" w:cs="仿宋"/>
          <w:bCs/>
          <w:color w:val="000000"/>
          <w:kern w:val="0"/>
          <w:sz w:val="32"/>
          <w:szCs w:val="32"/>
          <w:lang w:eastAsia="zh-Hans"/>
        </w:rPr>
        <w:t>成立赛事疫情防控小组</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根据大型群众性活动安全管理“谁举办、谁负责，谁组织、谁负责”的原则，一展一会一方案建立“活动主办方”+“场</w:t>
      </w:r>
      <w:r>
        <w:rPr>
          <w:rFonts w:hint="eastAsia" w:ascii="仿宋" w:hAnsi="仿宋" w:eastAsia="仿宋" w:cs="仿宋"/>
          <w:kern w:val="0"/>
          <w:sz w:val="32"/>
          <w:szCs w:val="32"/>
          <w:shd w:val="clear" w:color="auto" w:fill="FFFFFF"/>
          <w:lang w:eastAsia="zh-Hans"/>
        </w:rPr>
        <w:t>地</w:t>
      </w:r>
      <w:r>
        <w:rPr>
          <w:rFonts w:hint="eastAsia" w:ascii="仿宋" w:hAnsi="仿宋" w:eastAsia="仿宋" w:cs="仿宋"/>
          <w:kern w:val="0"/>
          <w:sz w:val="32"/>
          <w:szCs w:val="32"/>
          <w:shd w:val="clear" w:color="auto" w:fill="FFFFFF"/>
        </w:rPr>
        <w:t>方”+“参展商”+“属地疫情防控部门”疫情联防联控机制，并成立疫情防控工作组，统筹疫情防控工作，协调各组分工、合作，确保工作有序开展。</w:t>
      </w:r>
    </w:p>
    <w:p>
      <w:pPr>
        <w:widowControl/>
        <w:shd w:val="clear" w:color="auto" w:fill="FFFFFF"/>
        <w:spacing w:line="600" w:lineRule="exact"/>
        <w:ind w:firstLine="640" w:firstLineChars="20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二、</w:t>
      </w:r>
      <w:r>
        <w:rPr>
          <w:rFonts w:hint="eastAsia" w:ascii="仿宋" w:hAnsi="仿宋" w:eastAsia="仿宋" w:cs="仿宋"/>
          <w:bCs/>
          <w:color w:val="000000"/>
          <w:kern w:val="0"/>
          <w:sz w:val="32"/>
          <w:szCs w:val="32"/>
          <w:lang w:eastAsia="zh-Hans"/>
        </w:rPr>
        <w:t>疫情防控措施</w:t>
      </w:r>
    </w:p>
    <w:p>
      <w:pPr>
        <w:pStyle w:val="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（一）搭建、步行人员：出示健康绿码经过红外测温安保验证符合条件进入搭建现场。</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（二）工作人员、参展、步行人员：出示健康绿码经过红外测温安保验证符合条件进入场地。</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（三）货车管理：货车司机出示健康绿码经过安保手持测温符合条件进入，货车进场前必须进行消毒处理，方可进场。</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（四）不符合进馆条件人员，禁止进入场馆；现场临时突发如有发热、咳嗽等症状况者采取应急措施。</w:t>
      </w:r>
    </w:p>
    <w:p>
      <w:pPr>
        <w:pStyle w:val="12"/>
        <w:spacing w:line="600" w:lineRule="exact"/>
        <w:ind w:firstLine="640"/>
        <w:rPr>
          <w:rFonts w:ascii="仿宋" w:hAnsi="仿宋" w:eastAsia="仿宋" w:cs="仿宋"/>
          <w:bCs/>
          <w:color w:val="000000"/>
          <w:kern w:val="0"/>
          <w:sz w:val="32"/>
          <w:szCs w:val="32"/>
          <w:lang w:eastAsia="zh-Hans"/>
        </w:rPr>
      </w:pPr>
      <w:r>
        <w:rPr>
          <w:rFonts w:hint="eastAsia" w:ascii="仿宋" w:hAnsi="仿宋" w:eastAsia="仿宋" w:cs="仿宋"/>
          <w:bCs/>
          <w:color w:val="000000"/>
          <w:kern w:val="0"/>
          <w:sz w:val="32"/>
          <w:szCs w:val="32"/>
        </w:rPr>
        <w:t>三、</w:t>
      </w:r>
      <w:r>
        <w:rPr>
          <w:rFonts w:hint="eastAsia" w:ascii="仿宋" w:hAnsi="仿宋" w:eastAsia="仿宋" w:cs="仿宋"/>
          <w:bCs/>
          <w:color w:val="000000"/>
          <w:kern w:val="0"/>
          <w:sz w:val="32"/>
          <w:szCs w:val="32"/>
          <w:lang w:eastAsia="zh-Hans"/>
        </w:rPr>
        <w:t>现场管控措施</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（一）活动现场采取封控管理，所有进出人员必须按照指定通道出入。</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（二）根据活动使用区域在指定活动现场出入口按照要求配置安检设备。</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（三）设置防疫区和独立的隔离区。</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（四）人员间隔：注册台、测温安检区域人员保持1米以上距离。</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（五）所有人员进入活动现场必须佩戴口罩，经过测温、健康码检验合格后方可进入。</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（六）组委会在活动现场入口配置相应的口罩、消毒液等防疫物资。</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（七）根据活动使用场地设置，进入活动现场人员流量不超过场地最大容量的70%，限流、限时进入拉开人员间距，保证场内人员间隔距离在1米以上。</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（八）环境管理（消毒必做）</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每日早上开场前、当天赛事结束后两次使用84消毒液对使用场地和器械进行全面消毒；</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活动现场出口增设弃口罩回收专用箱（桶）。</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（九）垃圾处置管理</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 加强垃圾分类管理，及时收集并清运，做到日产日清；</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 活动现场出口设置“废弃口罩垃圾桶”、按垃圾分类要求的各类垃圾桶，垃圾桶里外保持日常清洁，定期进行消毒处理。“废弃口罩垃圾桶”标识清晰，定期用消毒剂（“84”消毒剂）对桶内口罩及手套进行喷雾消毒。消毒完成后，将废弃口罩密闭打包，统一送至垃圾站。如出现异常应根据防控要求及时进行清理和消毒。</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（十）巡查管理</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组委会工作人员实施秩序维护、巡视等疫情防控工作；督促整改问题的落实到位；组织实施疫情防控应急处置工作。</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（十一）应急处置措施</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组委会各部门保持沟通及联动，积极妥善处理相关突发事件，全力保障活动顺利举办。</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当发现发热病例时，立即启动赛事应急预案，主要负责人同时立即向防疫小组汇报情况。</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就地隔离发热病例，做好沟通和安抚工作，采取必要的防护措施，提供必要的防护用品，如一次性口罩、手套等。</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发热病例离开后，对其所到场所进行消毒处理。</w:t>
      </w:r>
    </w:p>
    <w:p>
      <w:pPr>
        <w:pStyle w:val="12"/>
        <w:numPr>
          <w:ilvl w:val="0"/>
          <w:numId w:val="1"/>
        </w:numPr>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现场与发热病例密切接触者应做好隔离措施，及时就医诊断、排查。</w:t>
      </w:r>
    </w:p>
    <w:p>
      <w:pPr>
        <w:pStyle w:val="12"/>
        <w:spacing w:line="60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（十二）建立疫情报告机制，定时汇报疫情防控工作，做好防控人员－防控小组－上级主管部门的联络和报告制度。</w:t>
      </w:r>
    </w:p>
    <w:p>
      <w:pPr>
        <w:pStyle w:val="2"/>
        <w:ind w:firstLine="0" w:firstLineChars="0"/>
        <w:rPr>
          <w:rFonts w:ascii="仿宋" w:hAnsi="仿宋" w:eastAsia="仿宋" w:cs="仿宋"/>
          <w:sz w:val="32"/>
          <w:szCs w:val="32"/>
        </w:rPr>
      </w:pPr>
    </w:p>
    <w:p/>
    <w:sectPr>
      <w:pgSz w:w="11906" w:h="16838"/>
      <w:pgMar w:top="1417" w:right="1474" w:bottom="1417" w:left="1474" w:header="851" w:footer="992" w:gutter="0"/>
      <w:cols w:space="0" w:num="1"/>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7775A"/>
    <w:multiLevelType w:val="singleLevel"/>
    <w:tmpl w:val="8837775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5B"/>
    <w:rsid w:val="0018395B"/>
    <w:rsid w:val="00502C8F"/>
    <w:rsid w:val="006610E2"/>
    <w:rsid w:val="00A554E4"/>
    <w:rsid w:val="00AB31B1"/>
    <w:rsid w:val="00B527B4"/>
    <w:rsid w:val="416F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exact"/>
      <w:ind w:firstLine="480" w:firstLineChars="200"/>
    </w:pPr>
    <w:rPr>
      <w:rFonts w:ascii="宋体" w:hAns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缩进 字符"/>
    <w:basedOn w:val="7"/>
    <w:link w:val="2"/>
    <w:qFormat/>
    <w:uiPriority w:val="0"/>
    <w:rPr>
      <w:rFonts w:ascii="宋体" w:hAnsi="宋体"/>
      <w:szCs w:val="24"/>
    </w:rPr>
  </w:style>
  <w:style w:type="paragraph" w:customStyle="1" w:styleId="12">
    <w:name w:val="列出段落1"/>
    <w:basedOn w:val="1"/>
    <w:qFormat/>
    <w:uiPriority w:val="34"/>
    <w:pPr>
      <w:spacing w:line="324" w:lineRule="auto"/>
      <w:ind w:firstLine="420" w:firstLineChars="200"/>
    </w:pPr>
    <w:rPr>
      <w:rFonts w:ascii="Calibri" w:hAnsi="Calibri" w:eastAsia="宋体" w:cs="Times New Roman"/>
      <w:szCs w:val="20"/>
    </w:rPr>
  </w:style>
  <w:style w:type="paragraph" w:customStyle="1" w:styleId="13">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1169</Characters>
  <Lines>9</Lines>
  <Paragraphs>2</Paragraphs>
  <TotalTime>0</TotalTime>
  <ScaleCrop>false</ScaleCrop>
  <LinksUpToDate>false</LinksUpToDate>
  <CharactersWithSpaces>1371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2021-09-29T06:56:00Z</dcterms:created>
  <dc:creator>Jiajia Li</dc:creator>
  <cp:lastModifiedBy>星空</cp:lastModifiedBy>
  <dcterms:modified xsi:type="dcterms:W3CDTF">2021-09-30T02:33:39Z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52A481EC33C342B58BEB62CE541FB780</vt:lpwstr>
  </property>
</Properties>
</file>