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360" w:lineRule="auto"/>
        <w:jc w:val="both"/>
        <w:rPr>
          <w:rStyle w:val="7"/>
          <w:rFonts w:eastAsia="仿宋"/>
          <w:b w:val="0"/>
          <w:bCs/>
          <w:color w:val="000000"/>
          <w:sz w:val="32"/>
          <w:szCs w:val="32"/>
          <w:shd w:val="clear" w:color="auto" w:fill="FFFFFF"/>
        </w:rPr>
      </w:pPr>
      <w:r>
        <w:rPr>
          <w:rStyle w:val="7"/>
          <w:rFonts w:eastAsia="仿宋"/>
          <w:b w:val="0"/>
          <w:bCs/>
          <w:color w:val="000000"/>
          <w:sz w:val="32"/>
          <w:szCs w:val="32"/>
          <w:shd w:val="clear" w:color="auto" w:fill="FFFFFF"/>
        </w:rPr>
        <w:t>附件</w:t>
      </w:r>
      <w:r>
        <w:rPr>
          <w:rStyle w:val="7"/>
          <w:rFonts w:hint="eastAsia" w:eastAsia="仿宋"/>
          <w:b w:val="0"/>
          <w:bCs/>
          <w:color w:val="000000"/>
          <w:sz w:val="32"/>
          <w:szCs w:val="32"/>
          <w:shd w:val="clear" w:color="auto" w:fill="FFFFFF"/>
        </w:rPr>
        <w:t>6</w:t>
      </w:r>
      <w:r>
        <w:rPr>
          <w:rStyle w:val="7"/>
          <w:rFonts w:eastAsia="仿宋"/>
          <w:b w:val="0"/>
          <w:bCs/>
          <w:color w:val="000000"/>
          <w:sz w:val="32"/>
          <w:szCs w:val="32"/>
          <w:shd w:val="clear" w:color="auto" w:fill="FFFFFF"/>
        </w:rPr>
        <w:t>：</w:t>
      </w:r>
    </w:p>
    <w:p>
      <w:pPr>
        <w:pStyle w:val="2"/>
        <w:spacing w:before="0" w:after="0" w:line="600" w:lineRule="exact"/>
        <w:jc w:val="center"/>
        <w:rPr>
          <w:rStyle w:val="7"/>
          <w:rFonts w:ascii="方正小标宋简体" w:hAnsi="方正小标宋简体" w:eastAsia="方正小标宋简体" w:cs="方正小标宋简体"/>
          <w:b w:val="0"/>
          <w:bCs/>
          <w:color w:val="000000"/>
          <w:sz w:val="36"/>
          <w:szCs w:val="36"/>
          <w:shd w:val="clear" w:color="auto" w:fill="FFFFFF"/>
        </w:rPr>
      </w:pPr>
      <w:r>
        <w:rPr>
          <w:rStyle w:val="7"/>
          <w:rFonts w:hint="eastAsia" w:ascii="方正小标宋简体" w:hAnsi="方正小标宋简体" w:eastAsia="方正小标宋简体" w:cs="方正小标宋简体"/>
          <w:b w:val="0"/>
          <w:bCs/>
          <w:color w:val="000000"/>
          <w:sz w:val="36"/>
          <w:szCs w:val="36"/>
          <w:shd w:val="clear" w:color="auto" w:fill="FFFFFF"/>
        </w:rPr>
        <w:t>2021全国全民体能大赛防疫方案</w:t>
      </w:r>
    </w:p>
    <w:p>
      <w:pPr>
        <w:pStyle w:val="3"/>
        <w:ind w:firstLine="0" w:firstLineChars="0"/>
      </w:pP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为保障活动的顺利实施，切实做好疫情防控工作，全面保障参展、参会人员的身体健康和生命安全预防工作，依据《中华人民共和国传染病防治法》、《突发公共卫生事件应急条例》，严格按照国务院联防联控机制印发的《关于科学防治精准施策分区分级做好新冠肺炎疫情防控工作的指导意见》和省、市、区疫情防控办的相关要求开展活动，坚持常态化精准防控和局部应急处置有机结合为原则。特制定疫情防控保障方案：</w:t>
      </w:r>
    </w:p>
    <w:p>
      <w:pPr>
        <w:widowControl/>
        <w:shd w:val="clear" w:color="auto" w:fill="FFFFFF"/>
        <w:spacing w:line="600" w:lineRule="exact"/>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一、成立赛事疫情防控小组</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大型群众性活动安全管理“谁举办、谁负责，谁组织、谁负责”的原则，一展一会一方案建立“活动主办方”+“场馆方”+“参展商”+“属地疫情防控部门”疫情联防联控机制，并成立疫情防控工作组，统筹疫情防控工作，协调各组分工、合作，确保工作有序开展。</w:t>
      </w:r>
    </w:p>
    <w:p>
      <w:pPr>
        <w:widowControl/>
        <w:shd w:val="clear" w:color="auto" w:fill="FFFFFF"/>
        <w:spacing w:line="600" w:lineRule="exact"/>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二、疫情防控措施</w:t>
      </w:r>
    </w:p>
    <w:p>
      <w:pPr>
        <w:pStyle w:val="3"/>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（一）搭建、步行人员：出示健康绿码经过红外测温安保验证符合条件进入搭建现场。</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（二）工作人员、参展、步行人员：出示健康绿码经过红外测温安保验证符合条件进入场地。</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（三）货车管理：货车司机出示健康绿码经过安保手持测温符合条件进入，货车进场前必须进行消毒处理，方可进场。</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（四）不符合进馆条件人员，禁止进入场馆；现场临时突发如有发热、咳嗽等症状况者采取应急措施。</w:t>
      </w:r>
    </w:p>
    <w:p>
      <w:pPr>
        <w:pStyle w:val="8"/>
        <w:spacing w:line="600" w:lineRule="exact"/>
        <w:ind w:firstLine="64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三、现场管控措施</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（一）活动现场采取封控管理，所有进出人员必须按照指定通道出入。</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（二）根据活动使用区域在指定活动现场出入口按照要求配置安检设备。</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（三）设置防疫区和独立的隔离区。</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（四）人员间隔：注册台、测温安检区域人员保持1米以上距离。</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（五）所有人员进入活动现场必须佩戴口罩，经过测温、健康码检验合格后方可进入。</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（六）组委会在活动现场入口配置相应的口罩、消毒液等防疫物资。</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（七）根据活动使用场地设置，进入活动现场人员流量不超过场地最大容量的70%，限流、限时进入拉开人员间距，保证场内人员间隔距离在1米以上。</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（八）环境管理（消毒必做）</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每日早上开场前、当天赛事结束后两次使用84消毒液对使用场地和器械进行全面消毒；</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活动现场出口增设弃口罩回收专用箱（桶）。</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（九）垃圾处置管理</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加强垃圾分类管理，及时收集并清运，做到日产日清；</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设置“废弃口罩垃圾桶”、按垃圾分类要求的各类垃圾桶，垃圾桶里外保持日常清洁，定期进行消毒处理。“废弃口罩垃圾桶”标识清晰，定期用消毒剂（“84”消毒剂）对桶内口罩及手套进行喷雾消毒。消毒完成后，将废弃口罩密闭打包，统一送至垃圾站。如出现异常应根据防控要求及时进行清理和消毒。</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（十）巡查管理</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组委会工作人员实施秩序维护、巡视等疫情防控工作；督促整改问题的落实到位；组织实施疫情防控应急处置工作。</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（十一）应急处置措施</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组委会各部门保持沟通及联动，积极妥善处理相关突发事件，全力保障活动顺利举办。</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当发现发热病例时，立即启动赛事应急预案，主要负责人同时立即向防疫小组汇报情况。</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就地隔离发热病例，做好沟通和安抚工作，采取必要的防护措施，提供必要的防护用品，如一次性口罩、手套等。</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发热病例离开后，对其所到场所进行消毒处理。</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现场与发热病例密切接触者应做好隔离措施，及时就医诊断、排查。</w:t>
      </w:r>
    </w:p>
    <w:p>
      <w:r>
        <w:rPr>
          <w:rFonts w:hint="eastAsia" w:ascii="仿宋" w:hAnsi="仿宋" w:eastAsia="仿宋" w:cs="仿宋"/>
          <w:kern w:val="0"/>
          <w:sz w:val="32"/>
          <w:szCs w:val="32"/>
          <w:shd w:val="clear" w:color="auto" w:fill="FFFFFF"/>
        </w:rPr>
        <w:t>（十二）建立疫情报告机制，定时汇报疫情防控工作，做好防控人员-防控小组-上级主管部门的联络和报告制度。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7775A"/>
    <w:multiLevelType w:val="singleLevel"/>
    <w:tmpl w:val="8837775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0401E"/>
    <w:rsid w:val="66B0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DejaVu Sans" w:hAnsi="DejaVu Sans" w:eastAsia="华文仿宋"/>
      <w:b/>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480" w:lineRule="exact"/>
      <w:ind w:firstLine="480" w:firstLineChars="200"/>
    </w:pPr>
    <w:rPr>
      <w:rFonts w:ascii="宋体" w:hAnsi="宋体"/>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rFonts w:ascii="Times New Roman" w:hAnsi="Times New Roman" w:eastAsia="宋体"/>
      <w:b/>
    </w:rPr>
  </w:style>
  <w:style w:type="paragraph" w:customStyle="1" w:styleId="8">
    <w:name w:val="列出段落1"/>
    <w:basedOn w:val="1"/>
    <w:qFormat/>
    <w:uiPriority w:val="34"/>
    <w:pPr>
      <w:spacing w:line="324" w:lineRule="auto"/>
      <w:ind w:firstLine="42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2021-05-11T02:06:00Z</dcterms:created>
  <dc:creator>Mosquito</dc:creator>
  <cp:lastModifiedBy>Mosquito</cp:lastModifiedBy>
  <dcterms:modified xsi:type="dcterms:W3CDTF">2021-05-11T02:07:15Z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FED72990454A4E70861BDE1D9235ABA9</vt:lpwstr>
  </property>
</Properties>
</file>