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B2" w:rsidRDefault="00A62DDE" w:rsidP="00DD1279">
      <w:pPr>
        <w:pStyle w:val="a4"/>
        <w:widowControl/>
        <w:spacing w:beforeAutospacing="0" w:afterAutospacing="0"/>
        <w:rPr>
          <w:rFonts w:ascii="黑体" w:eastAsia="黑体" w:hAnsi="黑体" w:cs="微软雅黑"/>
          <w:color w:val="000000"/>
          <w:sz w:val="32"/>
          <w:szCs w:val="32"/>
        </w:rPr>
      </w:pPr>
      <w:r w:rsidRPr="001C12F4">
        <w:rPr>
          <w:rFonts w:ascii="黑体" w:eastAsia="黑体" w:hAnsi="黑体" w:cs="微软雅黑" w:hint="eastAsia"/>
          <w:color w:val="000000"/>
          <w:sz w:val="32"/>
          <w:szCs w:val="32"/>
        </w:rPr>
        <w:t>附件</w:t>
      </w:r>
      <w:r w:rsidR="001C12F4">
        <w:rPr>
          <w:rFonts w:ascii="黑体" w:eastAsia="黑体" w:hAnsi="黑体" w:cs="微软雅黑" w:hint="eastAsia"/>
          <w:color w:val="000000"/>
          <w:sz w:val="32"/>
          <w:szCs w:val="32"/>
        </w:rPr>
        <w:t>2</w:t>
      </w:r>
    </w:p>
    <w:p w:rsidR="001C12F4" w:rsidRPr="001C12F4" w:rsidRDefault="001C12F4" w:rsidP="00E55859">
      <w:pPr>
        <w:pStyle w:val="a4"/>
        <w:widowControl/>
        <w:snapToGrid w:val="0"/>
        <w:spacing w:beforeAutospacing="0" w:afterAutospacing="0"/>
        <w:rPr>
          <w:rFonts w:ascii="黑体" w:eastAsia="黑体" w:hAnsi="黑体" w:cs="微软雅黑"/>
          <w:color w:val="000000"/>
          <w:sz w:val="32"/>
          <w:szCs w:val="32"/>
        </w:rPr>
      </w:pPr>
    </w:p>
    <w:p w:rsidR="003078B2" w:rsidRDefault="00A62DDE" w:rsidP="00DD127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中华人民共和国第十五届运动会</w:t>
      </w:r>
      <w:r w:rsidR="00E55859">
        <w:rPr>
          <w:rFonts w:ascii="方正小标宋简体" w:eastAsia="方正小标宋简体" w:hAnsi="方正小标宋简体" w:cs="方正小标宋简体" w:hint="eastAsia"/>
          <w:sz w:val="36"/>
          <w:szCs w:val="36"/>
        </w:rPr>
        <w:t>群众比赛毽球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项目预赛</w:t>
      </w:r>
    </w:p>
    <w:p w:rsidR="003078B2" w:rsidRPr="001C12F4" w:rsidRDefault="00A62DDE" w:rsidP="00DD1279">
      <w:pPr>
        <w:widowControl/>
        <w:topLinePunct/>
        <w:adjustRightIn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C12F4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（参赛队）赛风赛纪和反兴奋剂承诺书</w:t>
      </w:r>
    </w:p>
    <w:p w:rsidR="003078B2" w:rsidRPr="00DD1279" w:rsidRDefault="003078B2" w:rsidP="00E55859">
      <w:pPr>
        <w:widowControl/>
        <w:topLinePunct/>
        <w:adjustRightInd w:val="0"/>
        <w:snapToGrid w:val="0"/>
        <w:spacing w:line="336" w:lineRule="auto"/>
        <w:ind w:firstLineChars="200" w:firstLine="723"/>
        <w:rPr>
          <w:b/>
          <w:sz w:val="36"/>
          <w:szCs w:val="36"/>
        </w:rPr>
      </w:pPr>
    </w:p>
    <w:p w:rsidR="003078B2" w:rsidRDefault="00E55859" w:rsidP="00E55859">
      <w:pPr>
        <w:widowControl/>
        <w:topLinePunct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中华人民共和国第十五届运动会群众比赛毽球</w:t>
      </w:r>
      <w:r w:rsidR="00A62DDE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项目预赛将于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浙江省临海市</w:t>
      </w:r>
      <w:r w:rsidR="00A62DDE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举办。</w:t>
      </w:r>
      <w:r w:rsidR="00A62DDE">
        <w:rPr>
          <w:rFonts w:ascii="仿宋" w:eastAsia="仿宋" w:hAnsi="仿宋" w:cs="仿宋" w:hint="eastAsia"/>
          <w:color w:val="000000" w:themeColor="text1"/>
          <w:sz w:val="32"/>
          <w:szCs w:val="32"/>
        </w:rPr>
        <w:t>为加强比赛赛风赛纪的管理，创造公平、公正、公开、健康、有序的竞赛环境。我郑重承诺：</w:t>
      </w:r>
    </w:p>
    <w:p w:rsidR="003078B2" w:rsidRDefault="00A62DDE" w:rsidP="00E55859">
      <w:pPr>
        <w:widowControl/>
        <w:topLinePunct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一、严格遵守国家法律法规，遵守国家体育总局、体育总局社体中心和中国</w:t>
      </w:r>
      <w:r w:rsidR="00E55859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毽球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协会有关规定，提高政治站位，增强维护良好赛风赛纪的政治责任感和使命感，自觉维护体育竞赛的公平、公正，遵守赛事纪律，文明参赛。</w:t>
      </w:r>
    </w:p>
    <w:p w:rsidR="003078B2" w:rsidRDefault="00A62DDE" w:rsidP="00E55859">
      <w:pPr>
        <w:topLinePunct/>
        <w:snapToGrid w:val="0"/>
        <w:spacing w:line="336" w:lineRule="auto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二、严格遵守反兴奋剂有关法律法规和各项管理规定。在本次比赛中严格遵守以下具体规定：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（一）认真学习国家及省市的反兴奋剂政策法规，严格遵守各项规章制度，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自觉接受反兴奋剂教育，通过中国反兴奋剂教育平台（https://cleanmedal.chinada.cn）“十五运会反兴奋剂教育准入”参加学习。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（二）在体育运动中坚决不使用兴奋剂，维护体育运动的纯洁和公正；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（三）自觉抵制有关人员（教练员、队医及其他人员）组织、强迫、欺骗和教唆使用兴奋剂的行为；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（四）严格按照运动员行踪信息报告制度的要求，及时、准确报告个人行踪信息；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（五）因伤病需要进行治疗时，主动向医生说明运动员身份，确需使用含有违禁物质的药品或禁用方法时，按照治疗用药豁免的有关规定进行申请，批准后在医生的指导下使用；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（六）按规定接受赛内、赛外各类兴奋剂检查、积极配合兴奋剂检查官的工作；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（七）严格要求自己，不私自外出就餐，不私自使用任何药品和营养品，避免误服、误食事件的发生。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（八）如发生任何兴奋剂阳性或其他违规行为，愿意接受取消比赛成绩、停赛、罚款和其他相应的行政处罚。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认真、严格遵守国家体育总局颁布的《体育赛事活动赛风赛纪管理办法》等有关规定，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文明参赛，尊重观众，尊重对手，服从裁判。杜绝虚假比赛、扰乱赛场秩序和不文明参赛等行为。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保证相关措施落到实处，确保本队伍不发生违规事件。在本次比赛中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坚决不出现以下行为：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（一）向竞赛管理人员和技术官员请客送礼，谋取不正当利益；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不服从裁判员判罚，指责、谩骂、攻击裁判员，</w:t>
      </w:r>
      <w:r w:rsidRPr="001C12F4">
        <w:rPr>
          <w:rFonts w:ascii="仿宋" w:eastAsia="仿宋" w:hAnsi="仿宋" w:cs="仿宋" w:hint="eastAsia"/>
          <w:color w:val="000000" w:themeColor="text1"/>
          <w:sz w:val="32"/>
          <w:szCs w:val="32"/>
        </w:rPr>
        <w:t>干扰裁判员正常执裁的；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</w:t>
      </w:r>
      <w:r w:rsidRPr="001C12F4">
        <w:rPr>
          <w:rFonts w:ascii="仿宋" w:eastAsia="仿宋" w:hAnsi="仿宋" w:cs="仿宋" w:hint="eastAsia"/>
          <w:color w:val="000000" w:themeColor="text1"/>
          <w:sz w:val="32"/>
          <w:szCs w:val="32"/>
        </w:rPr>
        <w:t>违反运动员参赛资格有关规定，在运动员资格上弄虚作假的；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（四）虚假比赛、扰乱赛场秩序等赛风赛纪行为；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（五）迟报、瞒报和隐瞒赛风赛纪出现的问题，造成严重后果和影响；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（六）</w:t>
      </w:r>
      <w:r w:rsidRPr="001C12F4">
        <w:rPr>
          <w:rFonts w:ascii="仿宋" w:eastAsia="仿宋" w:hAnsi="仿宋" w:cs="仿宋" w:hint="eastAsia"/>
          <w:color w:val="000000" w:themeColor="text1"/>
          <w:sz w:val="32"/>
          <w:szCs w:val="32"/>
        </w:rPr>
        <w:t>组织、煽动观众滋事闹事、干扰比赛，发表涉及歧视言论，对观众进行不礼貌行为的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C12F4">
        <w:rPr>
          <w:rFonts w:ascii="仿宋" w:eastAsia="仿宋" w:hAnsi="仿宋" w:cs="仿宋" w:hint="eastAsia"/>
          <w:color w:val="000000" w:themeColor="text1"/>
          <w:sz w:val="32"/>
          <w:szCs w:val="32"/>
        </w:rPr>
        <w:t>（七）在比赛中违背体育精神和体育道德，使用小动作、坏动作、报复性动作，故意干扰影响他人正常参赛的；故意拖延比赛时间，闹赛、罢赛、无故弃权、拒绝领奖，扰乱赛场秩序的；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（八）拒绝领奖，做出影响体育形象及比赛正常进行的行为；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（九）酗酒、赌博、损毁公共设施和其他财物和其他违纪、违法行为；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（十）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其他影响赛事形象和比赛正常进行的行为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078B2" w:rsidRDefault="00A62DDE" w:rsidP="00E55859">
      <w:pPr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四、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服从大会管理，提高交通安全、人身安全、财物安全的意识。</w:t>
      </w:r>
    </w:p>
    <w:p w:rsidR="003078B2" w:rsidRDefault="00A62DDE" w:rsidP="00E55859">
      <w:pPr>
        <w:widowControl/>
        <w:topLinePunct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坚决遵守赛场安全管理规定，自觉接受安全教育，坚决遏制重大安全事故发生。</w:t>
      </w:r>
    </w:p>
    <w:p w:rsidR="003078B2" w:rsidRDefault="00A62DDE" w:rsidP="00E55859">
      <w:pPr>
        <w:widowControl/>
        <w:topLinePunct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五、配合赛事举办方营造积极健康的舆论环境。谨言慎行，不对外散布不符合事实和不负责任的言论，维护中国轮滑项目健康发展和赛事有序进行。</w:t>
      </w:r>
    </w:p>
    <w:p w:rsidR="00E55859" w:rsidRDefault="00E55859" w:rsidP="00E55859">
      <w:pPr>
        <w:widowControl/>
        <w:topLinePunct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</w:p>
    <w:p w:rsidR="003078B2" w:rsidRDefault="00DD1279" w:rsidP="00E55859">
      <w:pPr>
        <w:widowControl/>
        <w:topLinePunct/>
        <w:adjustRightInd w:val="0"/>
        <w:snapToGrid w:val="0"/>
        <w:spacing w:line="336" w:lineRule="auto"/>
        <w:ind w:right="1120" w:firstLineChars="236" w:firstLine="755"/>
        <w:jc w:val="right"/>
        <w:rPr>
          <w:rFonts w:ascii="仿宋" w:eastAsia="仿宋" w:hAnsi="仿宋" w:cs="仿宋"/>
          <w:snapToGrid w:val="0"/>
          <w:kern w:val="0"/>
          <w:sz w:val="32"/>
          <w:szCs w:val="32"/>
        </w:rPr>
      </w:pPr>
      <w:r w:rsidRPr="00DD1279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 w:rsidR="00A62DDE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队</w:t>
      </w:r>
    </w:p>
    <w:p w:rsidR="003078B2" w:rsidRDefault="00A62DDE" w:rsidP="00E55859">
      <w:pPr>
        <w:widowControl/>
        <w:topLinePunct/>
        <w:adjustRightInd w:val="0"/>
        <w:ind w:right="1120"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领队签字：</w:t>
      </w:r>
    </w:p>
    <w:p w:rsidR="003078B2" w:rsidRDefault="00A62DDE" w:rsidP="00E55859">
      <w:pPr>
        <w:widowControl/>
        <w:topLinePunct/>
        <w:adjustRightInd w:val="0"/>
        <w:ind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教练</w:t>
      </w:r>
      <w:r w:rsidR="00E55859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员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签字：</w:t>
      </w:r>
    </w:p>
    <w:p w:rsidR="003078B2" w:rsidRDefault="00A62DDE" w:rsidP="00E55859">
      <w:pPr>
        <w:widowControl/>
        <w:topLinePunct/>
        <w:adjustRightInd w:val="0"/>
        <w:ind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运动员签字（全体参赛运动员）：</w:t>
      </w:r>
    </w:p>
    <w:p w:rsidR="00E55859" w:rsidRDefault="00E55859" w:rsidP="00E55859">
      <w:pPr>
        <w:snapToGrid w:val="0"/>
        <w:ind w:firstLineChars="200" w:firstLine="640"/>
        <w:jc w:val="center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</w:p>
    <w:p w:rsidR="00E55859" w:rsidRDefault="00E55859" w:rsidP="00E55859">
      <w:pPr>
        <w:snapToGrid w:val="0"/>
        <w:ind w:firstLineChars="200" w:firstLine="640"/>
        <w:jc w:val="center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</w:p>
    <w:p w:rsidR="003078B2" w:rsidRDefault="00DD1279" w:rsidP="00E55859">
      <w:pPr>
        <w:snapToGrid w:val="0"/>
        <w:spacing w:line="336" w:lineRule="auto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2025</w:t>
      </w:r>
      <w:r w:rsidR="00A62DDE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   月   日</w:t>
      </w:r>
    </w:p>
    <w:sectPr w:rsidR="003078B2" w:rsidSect="001C12F4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0A" w:rsidRPr="00DD6C81" w:rsidRDefault="0091660A" w:rsidP="00D11424">
      <w:pPr>
        <w:ind w:firstLine="640"/>
      </w:pPr>
      <w:r>
        <w:separator/>
      </w:r>
    </w:p>
  </w:endnote>
  <w:endnote w:type="continuationSeparator" w:id="1">
    <w:p w:rsidR="0091660A" w:rsidRPr="00DD6C81" w:rsidRDefault="0091660A" w:rsidP="00D1142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0A" w:rsidRPr="00DD6C81" w:rsidRDefault="0091660A" w:rsidP="00D11424">
      <w:pPr>
        <w:ind w:firstLine="640"/>
      </w:pPr>
      <w:r>
        <w:separator/>
      </w:r>
    </w:p>
  </w:footnote>
  <w:footnote w:type="continuationSeparator" w:id="1">
    <w:p w:rsidR="0091660A" w:rsidRPr="00DD6C81" w:rsidRDefault="0091660A" w:rsidP="00D1142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B75B8"/>
    <w:rsid w:val="001C12F4"/>
    <w:rsid w:val="003078B2"/>
    <w:rsid w:val="0039032C"/>
    <w:rsid w:val="0091660A"/>
    <w:rsid w:val="00960211"/>
    <w:rsid w:val="00976148"/>
    <w:rsid w:val="00A62DDE"/>
    <w:rsid w:val="00D11424"/>
    <w:rsid w:val="00DD1279"/>
    <w:rsid w:val="00E55859"/>
    <w:rsid w:val="00F46112"/>
    <w:rsid w:val="032E78DA"/>
    <w:rsid w:val="0F987DAE"/>
    <w:rsid w:val="15DB49A2"/>
    <w:rsid w:val="1D4B75B8"/>
    <w:rsid w:val="29CF181E"/>
    <w:rsid w:val="338F46A2"/>
    <w:rsid w:val="4D35372C"/>
    <w:rsid w:val="6D82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8B2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3078B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078B2"/>
    <w:pPr>
      <w:ind w:firstLineChars="200" w:firstLine="420"/>
    </w:pPr>
  </w:style>
  <w:style w:type="paragraph" w:styleId="a4">
    <w:name w:val="Normal (Web)"/>
    <w:basedOn w:val="a"/>
    <w:qFormat/>
    <w:rsid w:val="003078B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uiPriority w:val="10"/>
    <w:qFormat/>
    <w:rsid w:val="003078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a6">
    <w:name w:val="header"/>
    <w:basedOn w:val="a"/>
    <w:link w:val="Char"/>
    <w:rsid w:val="00D1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11424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Char0"/>
    <w:rsid w:val="00D1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1142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♚　 Lee</dc:creator>
  <cp:lastModifiedBy>辛毅</cp:lastModifiedBy>
  <cp:revision>2</cp:revision>
  <dcterms:created xsi:type="dcterms:W3CDTF">2025-05-16T06:41:00Z</dcterms:created>
  <dcterms:modified xsi:type="dcterms:W3CDTF">2025-05-16T06:41:00Z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9FABF9FCFF6349FBAA67C9DDBB6DB816_13</vt:lpwstr>
  </property>
  <property fmtid="{D5CDD505-2E9C-101B-9397-08002B2CF9AE}" pid="4" name="KSOTemplateDocerSaveRecord">
    <vt:lpwstr>eyJoZGlkIjoiOWQwMTg1MWI4NTdiNmY2OGJiNmNlYjUzODc3ZDAyNmYiLCJ1c2VySWQiOiIyMzkxMTUzMTYifQ==</vt:lpwstr>
  </property>
</Properties>
</file>