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7AC42">
      <w:pPr>
        <w:pStyle w:val="17"/>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魔方运动办赛指南</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bookmarkStart w:id="0" w:name="_GoBack"/>
      <w:bookmarkEnd w:id="0"/>
    </w:p>
    <w:p w14:paraId="6057AC43">
      <w:pPr>
        <w:ind w:firstLine="632"/>
        <w:rPr>
          <w:rFonts w:hint="eastAsia" w:ascii="仿宋" w:hAnsi="仿宋" w:eastAsia="仿宋" w:cs="仿宋"/>
          <w:szCs w:val="32"/>
        </w:rPr>
      </w:pPr>
    </w:p>
    <w:p w14:paraId="6057AC44">
      <w:pPr>
        <w:pStyle w:val="2"/>
        <w:ind w:firstLine="632"/>
        <w:rPr>
          <w:rFonts w:hint="eastAsia" w:ascii="黑体" w:hAnsi="黑体" w:eastAsia="黑体" w:cs="黑体"/>
          <w:szCs w:val="32"/>
        </w:rPr>
      </w:pPr>
      <w:r>
        <w:rPr>
          <w:rFonts w:hint="eastAsia" w:ascii="黑体" w:hAnsi="黑体" w:eastAsia="黑体" w:cs="黑体"/>
          <w:szCs w:val="32"/>
        </w:rPr>
        <w:t>一、概述</w:t>
      </w:r>
    </w:p>
    <w:p w14:paraId="6057AC45">
      <w:pPr>
        <w:ind w:firstLine="632"/>
        <w:rPr>
          <w:rFonts w:hint="eastAsia" w:ascii="仿宋" w:hAnsi="仿宋" w:eastAsia="仿宋" w:cs="仿宋"/>
          <w:szCs w:val="32"/>
        </w:rPr>
      </w:pPr>
      <w:r>
        <w:rPr>
          <w:rFonts w:hint="eastAsia" w:ascii="仿宋" w:hAnsi="仿宋" w:eastAsia="仿宋" w:cs="仿宋"/>
          <w:szCs w:val="32"/>
        </w:rPr>
        <w:t>根据《中华人民共和国体育法》《全民健身条例》以及国家体育总局的有关规定，特制订《魔方运动办赛指南》（以下简称指南）。</w:t>
      </w:r>
    </w:p>
    <w:p w14:paraId="6057AC46">
      <w:pPr>
        <w:ind w:firstLine="632"/>
        <w:rPr>
          <w:rFonts w:hint="eastAsia" w:ascii="仿宋" w:hAnsi="仿宋" w:eastAsia="仿宋" w:cs="仿宋"/>
          <w:szCs w:val="32"/>
        </w:rPr>
      </w:pPr>
      <w:r>
        <w:rPr>
          <w:rFonts w:hint="eastAsia" w:ascii="仿宋" w:hAnsi="仿宋" w:eastAsia="仿宋" w:cs="仿宋"/>
          <w:szCs w:val="32"/>
        </w:rPr>
        <w:t>国家体育总局社会体育指导中心（以下简称社体中心）是全国性魔方比赛的最高管理机构，负责制订与贯彻比赛的标准和管理制度，为合法组织魔方比赛的社会各类组织提供必要的指导和服务。</w:t>
      </w:r>
    </w:p>
    <w:p w14:paraId="6057AC47">
      <w:pPr>
        <w:pStyle w:val="2"/>
        <w:ind w:firstLine="632"/>
        <w:rPr>
          <w:rFonts w:hint="eastAsia" w:ascii="黑体" w:hAnsi="黑体" w:eastAsia="黑体" w:cs="黑体"/>
          <w:szCs w:val="32"/>
        </w:rPr>
      </w:pPr>
      <w:r>
        <w:rPr>
          <w:rFonts w:hint="eastAsia" w:ascii="黑体" w:hAnsi="黑体" w:eastAsia="黑体" w:cs="黑体"/>
          <w:szCs w:val="32"/>
        </w:rPr>
        <w:t>二、比赛申办</w:t>
      </w:r>
    </w:p>
    <w:p w14:paraId="6057AC48">
      <w:pPr>
        <w:pStyle w:val="3"/>
        <w:adjustRightInd/>
        <w:snapToGrid/>
        <w:ind w:firstLine="632"/>
        <w:rPr>
          <w:rFonts w:hint="eastAsia" w:ascii="仿宋" w:hAnsi="仿宋" w:eastAsia="仿宋" w:cs="仿宋"/>
        </w:rPr>
      </w:pPr>
      <w:r>
        <w:rPr>
          <w:rFonts w:hint="eastAsia" w:ascii="仿宋" w:hAnsi="仿宋" w:eastAsia="仿宋" w:cs="仿宋"/>
        </w:rPr>
        <w:t>（一）申办资格</w:t>
      </w:r>
    </w:p>
    <w:p w14:paraId="6057AC49">
      <w:pPr>
        <w:ind w:firstLine="632"/>
        <w:rPr>
          <w:rFonts w:hint="eastAsia" w:ascii="仿宋" w:hAnsi="仿宋" w:eastAsia="仿宋" w:cs="仿宋"/>
          <w:szCs w:val="32"/>
        </w:rPr>
      </w:pPr>
      <w:r>
        <w:rPr>
          <w:rFonts w:hint="eastAsia" w:ascii="仿宋" w:hAnsi="仿宋" w:eastAsia="仿宋" w:cs="仿宋"/>
          <w:szCs w:val="32"/>
        </w:rPr>
        <w:t>申请举办全国性魔方比赛的组织，应当具备下列条件：</w:t>
      </w:r>
    </w:p>
    <w:p w14:paraId="6057AC4A">
      <w:pPr>
        <w:ind w:firstLine="632"/>
        <w:rPr>
          <w:rFonts w:hint="eastAsia" w:ascii="仿宋" w:hAnsi="仿宋" w:eastAsia="仿宋" w:cs="仿宋"/>
          <w:szCs w:val="32"/>
        </w:rPr>
      </w:pPr>
      <w:r>
        <w:rPr>
          <w:rFonts w:hint="eastAsia" w:ascii="仿宋" w:hAnsi="仿宋" w:eastAsia="仿宋" w:cs="仿宋"/>
          <w:szCs w:val="32"/>
        </w:rPr>
        <w:t>组织能力：申请单位应具备组织体育比赛的能力，并能独立承担民事责任。</w:t>
      </w:r>
    </w:p>
    <w:p w14:paraId="6057AC4B">
      <w:pPr>
        <w:ind w:firstLine="632"/>
        <w:rPr>
          <w:rFonts w:hint="eastAsia" w:ascii="仿宋" w:hAnsi="仿宋" w:eastAsia="仿宋" w:cs="仿宋"/>
          <w:szCs w:val="32"/>
        </w:rPr>
      </w:pPr>
      <w:r>
        <w:rPr>
          <w:rFonts w:hint="eastAsia" w:ascii="仿宋" w:hAnsi="仿宋" w:eastAsia="仿宋" w:cs="仿宋"/>
          <w:szCs w:val="32"/>
        </w:rPr>
        <w:t>团队建设：拥有与比赛规模相当的组织机构、专业技术和管理人员、服务人员。</w:t>
      </w:r>
    </w:p>
    <w:p w14:paraId="6057AC4C">
      <w:pPr>
        <w:ind w:firstLine="632"/>
        <w:rPr>
          <w:rFonts w:hint="eastAsia" w:ascii="仿宋" w:hAnsi="仿宋" w:eastAsia="仿宋" w:cs="仿宋"/>
          <w:szCs w:val="32"/>
        </w:rPr>
      </w:pPr>
      <w:r>
        <w:rPr>
          <w:rFonts w:hint="eastAsia" w:ascii="仿宋" w:hAnsi="仿宋" w:eastAsia="仿宋" w:cs="仿宋"/>
          <w:szCs w:val="32"/>
        </w:rPr>
        <w:t>资金支持：具有与承办比赛规模相适应的经费和社会信用。</w:t>
      </w:r>
    </w:p>
    <w:p w14:paraId="6057AC4D">
      <w:pPr>
        <w:ind w:firstLine="632"/>
        <w:rPr>
          <w:rFonts w:hint="eastAsia" w:ascii="仿宋" w:hAnsi="仿宋" w:eastAsia="仿宋" w:cs="仿宋"/>
          <w:szCs w:val="32"/>
        </w:rPr>
      </w:pPr>
      <w:r>
        <w:rPr>
          <w:rFonts w:hint="eastAsia" w:ascii="仿宋" w:hAnsi="仿宋" w:eastAsia="仿宋" w:cs="仿宋"/>
          <w:szCs w:val="32"/>
        </w:rPr>
        <w:t>场地设施：可以提供符合标准的比赛器材、桌椅及其他相关设施，并符合安全、消防等要求。</w:t>
      </w:r>
    </w:p>
    <w:p w14:paraId="6057AC4E">
      <w:pPr>
        <w:ind w:firstLine="632"/>
        <w:rPr>
          <w:rFonts w:hint="eastAsia" w:ascii="仿宋" w:hAnsi="仿宋" w:eastAsia="仿宋" w:cs="仿宋"/>
          <w:szCs w:val="32"/>
        </w:rPr>
      </w:pPr>
      <w:r>
        <w:rPr>
          <w:rFonts w:hint="eastAsia" w:ascii="仿宋" w:hAnsi="仿宋" w:eastAsia="仿宋" w:cs="仿宋"/>
          <w:szCs w:val="32"/>
        </w:rPr>
        <w:t>管理制度：有健全的承办比赛组织实施方案、衍生方案以及各项管理制度。</w:t>
      </w:r>
    </w:p>
    <w:p w14:paraId="6057AC4F">
      <w:pPr>
        <w:ind w:firstLine="632"/>
        <w:rPr>
          <w:rFonts w:hint="eastAsia" w:ascii="仿宋" w:hAnsi="仿宋" w:eastAsia="仿宋" w:cs="仿宋"/>
          <w:szCs w:val="32"/>
        </w:rPr>
      </w:pPr>
      <w:r>
        <w:rPr>
          <w:rFonts w:hint="eastAsia" w:ascii="仿宋" w:hAnsi="仿宋" w:eastAsia="仿宋" w:cs="仿宋"/>
          <w:szCs w:val="32"/>
        </w:rPr>
        <w:t>法律合规：符合国家法律、法规规定的其他条件。</w:t>
      </w:r>
    </w:p>
    <w:p w14:paraId="30EC1692">
      <w:pPr>
        <w:ind w:firstLine="632"/>
        <w:rPr>
          <w:rFonts w:hint="eastAsia" w:ascii="仿宋" w:hAnsi="仿宋" w:eastAsia="仿宋" w:cs="仿宋"/>
          <w:szCs w:val="32"/>
        </w:rPr>
      </w:pPr>
      <w:r>
        <w:rPr>
          <w:rFonts w:hint="eastAsia" w:ascii="仿宋" w:hAnsi="仿宋" w:eastAsia="仿宋" w:cs="仿宋"/>
          <w:szCs w:val="32"/>
        </w:rPr>
        <w:t>群众性、商业性比赛：无需审批，不得冠以全国、国家、中国、中华以及有类似含义的名称。</w:t>
      </w:r>
    </w:p>
    <w:p w14:paraId="6057AC50">
      <w:pPr>
        <w:pStyle w:val="3"/>
        <w:adjustRightInd/>
        <w:snapToGrid/>
        <w:ind w:firstLine="632"/>
        <w:rPr>
          <w:rFonts w:hint="eastAsia" w:ascii="仿宋" w:hAnsi="仿宋" w:eastAsia="仿宋" w:cs="仿宋"/>
        </w:rPr>
      </w:pPr>
      <w:r>
        <w:rPr>
          <w:rFonts w:hint="eastAsia" w:ascii="仿宋" w:hAnsi="仿宋" w:eastAsia="仿宋" w:cs="仿宋"/>
        </w:rPr>
        <w:t>（二）申办条件</w:t>
      </w:r>
    </w:p>
    <w:p w14:paraId="6057AC51">
      <w:pPr>
        <w:ind w:firstLine="632"/>
        <w:rPr>
          <w:rFonts w:hint="eastAsia" w:ascii="仿宋" w:hAnsi="仿宋" w:eastAsia="仿宋" w:cs="仿宋"/>
          <w:szCs w:val="32"/>
        </w:rPr>
      </w:pPr>
      <w:r>
        <w:rPr>
          <w:rFonts w:hint="eastAsia" w:ascii="仿宋" w:hAnsi="仿宋" w:eastAsia="仿宋" w:cs="仿宋"/>
          <w:szCs w:val="32"/>
        </w:rPr>
        <w:t>社体中心每年年末发布次年比赛计划，申请单位需提交详尽的申办报告，内容包括但不限于：</w:t>
      </w:r>
    </w:p>
    <w:p w14:paraId="6057AC52">
      <w:pPr>
        <w:ind w:firstLine="632"/>
        <w:rPr>
          <w:rFonts w:hint="eastAsia" w:ascii="仿宋" w:hAnsi="仿宋" w:eastAsia="仿宋" w:cs="仿宋"/>
          <w:szCs w:val="32"/>
        </w:rPr>
      </w:pPr>
      <w:r>
        <w:rPr>
          <w:rFonts w:hint="eastAsia" w:ascii="仿宋" w:hAnsi="仿宋" w:eastAsia="仿宋" w:cs="仿宋"/>
          <w:szCs w:val="32"/>
        </w:rPr>
        <w:t>1.申办比赛的名称、时间、地点和规模；</w:t>
      </w:r>
    </w:p>
    <w:p w14:paraId="6057AC53">
      <w:pPr>
        <w:ind w:firstLine="632"/>
        <w:rPr>
          <w:rFonts w:hint="eastAsia" w:ascii="仿宋" w:hAnsi="仿宋" w:eastAsia="仿宋" w:cs="仿宋"/>
          <w:szCs w:val="32"/>
        </w:rPr>
      </w:pPr>
      <w:r>
        <w:rPr>
          <w:rFonts w:hint="eastAsia" w:ascii="仿宋" w:hAnsi="仿宋" w:eastAsia="仿宋" w:cs="仿宋"/>
          <w:szCs w:val="32"/>
        </w:rPr>
        <w:t>2.主办单位、承办单位和协办单位情况；</w:t>
      </w:r>
    </w:p>
    <w:p w14:paraId="6057AC54">
      <w:pPr>
        <w:ind w:firstLine="632"/>
        <w:rPr>
          <w:rFonts w:hint="eastAsia" w:ascii="仿宋" w:hAnsi="仿宋" w:eastAsia="仿宋" w:cs="仿宋"/>
          <w:szCs w:val="32"/>
        </w:rPr>
      </w:pPr>
      <w:r>
        <w:rPr>
          <w:rFonts w:hint="eastAsia" w:ascii="仿宋" w:hAnsi="仿宋" w:eastAsia="仿宋" w:cs="仿宋"/>
          <w:szCs w:val="32"/>
        </w:rPr>
        <w:t>3.比赛日程和各项目赛程；</w:t>
      </w:r>
    </w:p>
    <w:p w14:paraId="6057AC55">
      <w:pPr>
        <w:ind w:firstLine="632"/>
        <w:rPr>
          <w:rFonts w:hint="eastAsia" w:ascii="仿宋" w:hAnsi="仿宋" w:eastAsia="仿宋" w:cs="仿宋"/>
          <w:szCs w:val="32"/>
        </w:rPr>
      </w:pPr>
      <w:r>
        <w:rPr>
          <w:rFonts w:hint="eastAsia" w:ascii="仿宋" w:hAnsi="仿宋" w:eastAsia="仿宋" w:cs="仿宋"/>
          <w:szCs w:val="32"/>
        </w:rPr>
        <w:t>4.比赛经费来源及预算清单；</w:t>
      </w:r>
    </w:p>
    <w:p w14:paraId="6057AC56">
      <w:pPr>
        <w:ind w:firstLine="632"/>
        <w:rPr>
          <w:rFonts w:hint="eastAsia" w:ascii="仿宋" w:hAnsi="仿宋" w:eastAsia="仿宋" w:cs="仿宋"/>
          <w:szCs w:val="32"/>
        </w:rPr>
      </w:pPr>
      <w:r>
        <w:rPr>
          <w:rFonts w:hint="eastAsia" w:ascii="仿宋" w:hAnsi="仿宋" w:eastAsia="仿宋" w:cs="仿宋"/>
          <w:szCs w:val="32"/>
        </w:rPr>
        <w:t>5.申请单位的办赛经验；</w:t>
      </w:r>
    </w:p>
    <w:p w14:paraId="6057AC57">
      <w:pPr>
        <w:ind w:firstLine="632"/>
        <w:rPr>
          <w:rFonts w:hint="eastAsia" w:ascii="仿宋" w:hAnsi="仿宋" w:eastAsia="仿宋" w:cs="仿宋"/>
          <w:szCs w:val="32"/>
        </w:rPr>
      </w:pPr>
      <w:r>
        <w:rPr>
          <w:rFonts w:hint="eastAsia" w:ascii="仿宋" w:hAnsi="仿宋" w:eastAsia="仿宋" w:cs="仿宋"/>
          <w:szCs w:val="32"/>
        </w:rPr>
        <w:t>6.比赛承办地的交通状况和接待条件；</w:t>
      </w:r>
    </w:p>
    <w:p w14:paraId="6057AC58">
      <w:pPr>
        <w:ind w:firstLine="632"/>
        <w:rPr>
          <w:rFonts w:hint="eastAsia" w:ascii="仿宋" w:hAnsi="仿宋" w:eastAsia="仿宋" w:cs="仿宋"/>
          <w:szCs w:val="32"/>
        </w:rPr>
      </w:pPr>
      <w:r>
        <w:rPr>
          <w:rFonts w:hint="eastAsia" w:ascii="仿宋" w:hAnsi="仿宋" w:eastAsia="仿宋" w:cs="仿宋"/>
          <w:szCs w:val="32"/>
        </w:rPr>
        <w:t>7.承办地基础情况介绍及特色内容（美食、节日、活动）介绍；</w:t>
      </w:r>
    </w:p>
    <w:p w14:paraId="6057AC59">
      <w:pPr>
        <w:ind w:firstLine="632"/>
        <w:rPr>
          <w:rFonts w:hint="eastAsia" w:ascii="仿宋" w:hAnsi="仿宋" w:eastAsia="仿宋" w:cs="仿宋"/>
          <w:szCs w:val="32"/>
        </w:rPr>
      </w:pPr>
      <w:r>
        <w:rPr>
          <w:rFonts w:hint="eastAsia" w:ascii="仿宋" w:hAnsi="仿宋" w:eastAsia="仿宋" w:cs="仿宋"/>
          <w:szCs w:val="32"/>
        </w:rPr>
        <w:t>8.联系方式。</w:t>
      </w:r>
    </w:p>
    <w:p w14:paraId="6057AC5A">
      <w:pPr>
        <w:pStyle w:val="2"/>
        <w:ind w:firstLine="632"/>
        <w:rPr>
          <w:rFonts w:hint="eastAsia" w:ascii="黑体" w:hAnsi="黑体" w:eastAsia="黑体" w:cs="黑体"/>
          <w:szCs w:val="32"/>
        </w:rPr>
      </w:pPr>
      <w:r>
        <w:rPr>
          <w:rFonts w:hint="eastAsia" w:ascii="黑体" w:hAnsi="黑体" w:eastAsia="黑体" w:cs="黑体"/>
          <w:szCs w:val="32"/>
        </w:rPr>
        <w:t>三、比赛确认</w:t>
      </w:r>
    </w:p>
    <w:p w14:paraId="6057AC5B">
      <w:pPr>
        <w:ind w:firstLine="632"/>
        <w:rPr>
          <w:rFonts w:hint="eastAsia" w:ascii="仿宋" w:hAnsi="仿宋" w:eastAsia="仿宋" w:cs="仿宋"/>
          <w:szCs w:val="32"/>
        </w:rPr>
      </w:pPr>
      <w:r>
        <w:rPr>
          <w:rFonts w:hint="eastAsia" w:ascii="仿宋" w:hAnsi="仿宋" w:eastAsia="仿宋" w:cs="仿宋"/>
          <w:szCs w:val="32"/>
        </w:rPr>
        <w:t>材料初审：社体中心收到申办报告及材料后，将对材料进行初步审查。</w:t>
      </w:r>
    </w:p>
    <w:p w14:paraId="6057AC5C">
      <w:pPr>
        <w:ind w:firstLine="632"/>
        <w:rPr>
          <w:rFonts w:hint="eastAsia" w:ascii="仿宋" w:hAnsi="仿宋" w:eastAsia="仿宋" w:cs="仿宋"/>
          <w:szCs w:val="32"/>
        </w:rPr>
      </w:pPr>
      <w:r>
        <w:rPr>
          <w:rFonts w:hint="eastAsia" w:ascii="仿宋" w:hAnsi="仿宋" w:eastAsia="仿宋" w:cs="仿宋"/>
          <w:szCs w:val="32"/>
        </w:rPr>
        <w:t>技术考察：根据比赛申办单位的办赛经验、比赛规模等实际情况，组织技术代表进行实地考察（费用由申办单位承担），考察内容包括基础设施、场地安全、比赛设施等。</w:t>
      </w:r>
    </w:p>
    <w:p w14:paraId="6057AC5D">
      <w:pPr>
        <w:ind w:firstLine="632"/>
        <w:rPr>
          <w:rFonts w:hint="eastAsia" w:ascii="仿宋" w:hAnsi="仿宋" w:eastAsia="仿宋" w:cs="仿宋"/>
          <w:szCs w:val="32"/>
        </w:rPr>
      </w:pPr>
      <w:r>
        <w:rPr>
          <w:rFonts w:hint="eastAsia" w:ascii="仿宋" w:hAnsi="仿宋" w:eastAsia="仿宋" w:cs="仿宋"/>
          <w:szCs w:val="32"/>
        </w:rPr>
        <w:t>专家评审：社体中心组织专家组对通过初步审查的单位开展评审工作。</w:t>
      </w:r>
    </w:p>
    <w:p w14:paraId="6057AC5E">
      <w:pPr>
        <w:ind w:firstLine="632"/>
        <w:rPr>
          <w:rFonts w:hint="eastAsia" w:ascii="仿宋" w:hAnsi="仿宋" w:eastAsia="仿宋" w:cs="仿宋"/>
          <w:szCs w:val="32"/>
        </w:rPr>
      </w:pPr>
      <w:r>
        <w:rPr>
          <w:rFonts w:hint="eastAsia" w:ascii="仿宋" w:hAnsi="仿宋" w:eastAsia="仿宋" w:cs="仿宋"/>
          <w:szCs w:val="32"/>
        </w:rPr>
        <w:t>结果公示：对专家评审情况进行公示。</w:t>
      </w:r>
    </w:p>
    <w:p w14:paraId="6057AC5F">
      <w:pPr>
        <w:ind w:firstLine="632"/>
        <w:rPr>
          <w:rFonts w:hint="eastAsia" w:ascii="仿宋" w:hAnsi="仿宋" w:eastAsia="仿宋" w:cs="仿宋"/>
          <w:szCs w:val="32"/>
        </w:rPr>
      </w:pPr>
      <w:r>
        <w:rPr>
          <w:rFonts w:hint="eastAsia" w:ascii="仿宋" w:hAnsi="仿宋" w:eastAsia="仿宋" w:cs="仿宋"/>
          <w:szCs w:val="32"/>
        </w:rPr>
        <w:t>安排时间：社体中心将根据比赛日程安排，参照各通过评审和考察单位的办赛意向和客观条件安排具体比赛时间，列入下一年度竞赛计划。</w:t>
      </w:r>
    </w:p>
    <w:p w14:paraId="6057AC60">
      <w:pPr>
        <w:pStyle w:val="3"/>
        <w:adjustRightInd/>
        <w:snapToGrid/>
        <w:ind w:firstLine="632"/>
        <w:rPr>
          <w:rFonts w:hint="eastAsia" w:ascii="仿宋" w:hAnsi="仿宋" w:eastAsia="仿宋" w:cs="仿宋"/>
        </w:rPr>
      </w:pPr>
      <w:r>
        <w:rPr>
          <w:rFonts w:hint="eastAsia" w:ascii="仿宋" w:hAnsi="仿宋" w:eastAsia="仿宋" w:cs="仿宋"/>
        </w:rPr>
        <w:t>协议签订：社体中心与比赛申办单位商定合作办赛有关事宜，约定办赛标准与条件。双方就合作细节达成一致意见后，正式签署办赛协议。</w:t>
      </w:r>
    </w:p>
    <w:p w14:paraId="6057AC61">
      <w:pPr>
        <w:pStyle w:val="2"/>
        <w:ind w:firstLine="632"/>
        <w:rPr>
          <w:rFonts w:hint="eastAsia" w:ascii="黑体" w:hAnsi="黑体" w:eastAsia="黑体" w:cs="黑体"/>
          <w:szCs w:val="32"/>
        </w:rPr>
      </w:pPr>
      <w:r>
        <w:rPr>
          <w:rFonts w:hint="eastAsia" w:ascii="黑体" w:hAnsi="黑体" w:eastAsia="黑体" w:cs="黑体"/>
          <w:szCs w:val="32"/>
        </w:rPr>
        <w:t>四、组织架构建立</w:t>
      </w:r>
    </w:p>
    <w:p w14:paraId="6057AC62">
      <w:pPr>
        <w:pStyle w:val="3"/>
        <w:ind w:firstLine="632"/>
        <w:rPr>
          <w:rFonts w:hint="eastAsia"/>
        </w:rPr>
      </w:pPr>
      <w:r>
        <w:rPr>
          <w:rFonts w:hint="eastAsia"/>
        </w:rPr>
        <w:t>（一）筹备委员会</w:t>
      </w:r>
    </w:p>
    <w:p w14:paraId="6057AC63">
      <w:pPr>
        <w:ind w:firstLine="632"/>
        <w:rPr>
          <w:rFonts w:hint="eastAsia" w:ascii="仿宋" w:hAnsi="仿宋" w:eastAsia="仿宋" w:cs="仿宋"/>
          <w:szCs w:val="32"/>
        </w:rPr>
      </w:pPr>
      <w:r>
        <w:rPr>
          <w:rFonts w:hint="eastAsia" w:ascii="仿宋" w:hAnsi="仿宋" w:eastAsia="仿宋" w:cs="仿宋"/>
          <w:szCs w:val="32"/>
        </w:rPr>
        <w:t>自申办比赛成功之日起，申办单位应立即成立筹备委员会。筹备委员会的主要职责是负责与上级单位的日常联络，并在组织委员会成立之前代行其职能。</w:t>
      </w:r>
    </w:p>
    <w:p w14:paraId="6057AC64">
      <w:pPr>
        <w:ind w:firstLine="632"/>
        <w:rPr>
          <w:rFonts w:hint="eastAsia" w:ascii="仿宋" w:hAnsi="仿宋" w:eastAsia="仿宋" w:cs="仿宋"/>
          <w:strike/>
          <w:szCs w:val="32"/>
        </w:rPr>
      </w:pPr>
      <w:r>
        <w:rPr>
          <w:rFonts w:hint="eastAsia" w:ascii="仿宋" w:hAnsi="仿宋" w:eastAsia="仿宋" w:cs="仿宋"/>
          <w:szCs w:val="32"/>
        </w:rPr>
        <w:t>筹备委员会需根据活动举办时间，提前3个月落实工作人员、裁判员、运动员的接待宾馆及场地，并由承办单位提供比赛规程所需的相关信息，包括报到、比赛地点，联系人，交通信息，报到、比赛时间等。</w:t>
      </w:r>
    </w:p>
    <w:p w14:paraId="6057AC65">
      <w:pPr>
        <w:pStyle w:val="3"/>
        <w:ind w:firstLine="632"/>
        <w:rPr>
          <w:rFonts w:hint="eastAsia"/>
        </w:rPr>
      </w:pPr>
      <w:r>
        <w:rPr>
          <w:rFonts w:hint="eastAsia"/>
        </w:rPr>
        <w:t>（二）组织委员会</w:t>
      </w:r>
    </w:p>
    <w:p w14:paraId="6057AC66">
      <w:pPr>
        <w:ind w:firstLine="632"/>
        <w:rPr>
          <w:rFonts w:hint="eastAsia" w:ascii="仿宋" w:hAnsi="仿宋" w:eastAsia="仿宋" w:cs="仿宋"/>
          <w:szCs w:val="32"/>
        </w:rPr>
      </w:pPr>
      <w:r>
        <w:rPr>
          <w:rFonts w:hint="eastAsia" w:ascii="仿宋" w:hAnsi="仿宋" w:eastAsia="仿宋" w:cs="仿宋"/>
          <w:szCs w:val="32"/>
        </w:rPr>
        <w:t>在筹备委员会的基础上，承办单位应商请主办单位、执行单位、协办单位、赞助单位等共同成立组织委员会，全面负责比赛的组织工作，推进并履行比赛各项具体事务及承诺。组委会规模应根据比赛规模合理设置。以国家级比赛为例，组委会的组成可以参考以下架构：</w:t>
      </w:r>
    </w:p>
    <w:p w14:paraId="6057AC67">
      <w:pPr>
        <w:ind w:firstLine="632"/>
        <w:rPr>
          <w:rFonts w:hint="eastAsia" w:ascii="仿宋" w:hAnsi="仿宋" w:eastAsia="仿宋" w:cs="仿宋"/>
          <w:szCs w:val="32"/>
        </w:rPr>
      </w:pPr>
      <w:r>
        <w:rPr>
          <w:rFonts w:hint="eastAsia" w:ascii="仿宋" w:hAnsi="仿宋" w:eastAsia="仿宋" w:cs="仿宋"/>
          <w:szCs w:val="32"/>
        </w:rPr>
        <w:t>名誉主任：由主办单位或地方政府的高级官员担任，负责比赛的名誉支持和高层协调。</w:t>
      </w:r>
    </w:p>
    <w:p w14:paraId="6057AC68">
      <w:pPr>
        <w:ind w:firstLine="632"/>
        <w:rPr>
          <w:rFonts w:hint="eastAsia" w:ascii="仿宋" w:hAnsi="仿宋" w:eastAsia="仿宋" w:cs="仿宋"/>
          <w:szCs w:val="32"/>
        </w:rPr>
      </w:pPr>
      <w:r>
        <w:rPr>
          <w:rFonts w:hint="eastAsia" w:ascii="仿宋" w:hAnsi="仿宋" w:eastAsia="仿宋" w:cs="仿宋"/>
          <w:szCs w:val="32"/>
        </w:rPr>
        <w:t>主任：由承办单位的主要负责人担任，全面负责比赛的总体策划和决策。</w:t>
      </w:r>
    </w:p>
    <w:p w14:paraId="6057AC69">
      <w:pPr>
        <w:ind w:firstLine="632"/>
        <w:rPr>
          <w:rFonts w:hint="eastAsia" w:ascii="仿宋" w:hAnsi="仿宋" w:eastAsia="仿宋" w:cs="仿宋"/>
          <w:szCs w:val="32"/>
        </w:rPr>
      </w:pPr>
      <w:r>
        <w:rPr>
          <w:rFonts w:hint="eastAsia" w:ascii="仿宋" w:hAnsi="仿宋" w:eastAsia="仿宋" w:cs="仿宋"/>
          <w:szCs w:val="32"/>
        </w:rPr>
        <w:t>执行主任：负责日常事务的决策和执行，确保各项工作的顺利推进。</w:t>
      </w:r>
    </w:p>
    <w:p w14:paraId="6057AC6A">
      <w:pPr>
        <w:ind w:firstLine="632"/>
        <w:rPr>
          <w:rFonts w:hint="eastAsia" w:ascii="仿宋" w:hAnsi="仿宋" w:eastAsia="仿宋" w:cs="仿宋"/>
          <w:szCs w:val="32"/>
        </w:rPr>
      </w:pPr>
      <w:r>
        <w:rPr>
          <w:rFonts w:hint="eastAsia" w:ascii="仿宋" w:hAnsi="仿宋" w:eastAsia="仿宋" w:cs="仿宋"/>
          <w:szCs w:val="32"/>
        </w:rPr>
        <w:t>副主任：协助主任和执行主任开展工作，分管特定领域的事务。</w:t>
      </w:r>
    </w:p>
    <w:p w14:paraId="6057AC6B">
      <w:pPr>
        <w:ind w:firstLine="632"/>
        <w:rPr>
          <w:rFonts w:hint="eastAsia" w:ascii="仿宋" w:hAnsi="仿宋" w:eastAsia="仿宋" w:cs="仿宋"/>
          <w:szCs w:val="32"/>
        </w:rPr>
      </w:pPr>
      <w:r>
        <w:rPr>
          <w:rFonts w:hint="eastAsia" w:ascii="仿宋" w:hAnsi="仿宋" w:eastAsia="仿宋" w:cs="仿宋"/>
          <w:szCs w:val="32"/>
        </w:rPr>
        <w:t>秘书长：负责组委会内部的协调和沟通，确保各部门之间的有效协作。</w:t>
      </w:r>
    </w:p>
    <w:p w14:paraId="6057AC6C">
      <w:pPr>
        <w:ind w:firstLine="632"/>
        <w:rPr>
          <w:rFonts w:hint="eastAsia" w:ascii="仿宋" w:hAnsi="仿宋" w:eastAsia="仿宋" w:cs="仿宋"/>
          <w:szCs w:val="32"/>
        </w:rPr>
      </w:pPr>
      <w:r>
        <w:rPr>
          <w:rFonts w:hint="eastAsia" w:ascii="仿宋" w:hAnsi="仿宋" w:eastAsia="仿宋" w:cs="仿宋"/>
          <w:szCs w:val="32"/>
        </w:rPr>
        <w:t>常务副秘书长：协助秘书长处理具体事务，负责日常管理。</w:t>
      </w:r>
    </w:p>
    <w:p w14:paraId="6057AC6D">
      <w:pPr>
        <w:ind w:firstLine="632"/>
        <w:rPr>
          <w:rFonts w:hint="eastAsia" w:ascii="仿宋" w:hAnsi="仿宋" w:eastAsia="仿宋" w:cs="仿宋"/>
          <w:szCs w:val="32"/>
        </w:rPr>
      </w:pPr>
      <w:r>
        <w:rPr>
          <w:rFonts w:hint="eastAsia" w:ascii="仿宋" w:hAnsi="仿宋" w:eastAsia="仿宋" w:cs="仿宋"/>
          <w:szCs w:val="32"/>
        </w:rPr>
        <w:t>副秘书长：负责特定领域的专项工作，如财务、宣传等。</w:t>
      </w:r>
    </w:p>
    <w:p w14:paraId="6057AC6E">
      <w:pPr>
        <w:ind w:firstLine="632"/>
        <w:rPr>
          <w:rFonts w:hint="eastAsia" w:ascii="仿宋" w:hAnsi="仿宋" w:eastAsia="仿宋" w:cs="仿宋"/>
          <w:szCs w:val="32"/>
        </w:rPr>
      </w:pPr>
      <w:r>
        <w:rPr>
          <w:rFonts w:hint="eastAsia" w:ascii="仿宋" w:hAnsi="仿宋" w:eastAsia="仿宋" w:cs="仿宋"/>
          <w:szCs w:val="32"/>
        </w:rPr>
        <w:t>委员：由各相关部门和单位的负责人组成，负责各自领域的具体工作。</w:t>
      </w:r>
    </w:p>
    <w:p w14:paraId="6057AC6F">
      <w:pPr>
        <w:ind w:firstLine="632"/>
        <w:rPr>
          <w:rFonts w:hint="eastAsia" w:ascii="仿宋" w:hAnsi="仿宋" w:eastAsia="仿宋" w:cs="仿宋"/>
          <w:szCs w:val="32"/>
        </w:rPr>
      </w:pPr>
      <w:r>
        <w:rPr>
          <w:rFonts w:hint="eastAsia" w:ascii="仿宋" w:hAnsi="仿宋" w:eastAsia="仿宋" w:cs="仿宋"/>
          <w:szCs w:val="32"/>
        </w:rPr>
        <w:t>组委会领导机构的设置旨在确保比赛的高效管理和有序运行。名誉主任、主任、执行主任、副主任、秘书长、常务副秘书长、副秘书长、委员等职位的设置，能够覆盖比赛的各个方面，确保每一个环节都有专人负责。</w:t>
      </w:r>
    </w:p>
    <w:p w14:paraId="6057AC70">
      <w:pPr>
        <w:pStyle w:val="3"/>
        <w:ind w:firstLine="632"/>
        <w:rPr>
          <w:rFonts w:hint="eastAsia"/>
        </w:rPr>
      </w:pPr>
      <w:r>
        <w:rPr>
          <w:rFonts w:hint="eastAsia"/>
        </w:rPr>
        <w:t>（三）执行委员会</w:t>
      </w:r>
    </w:p>
    <w:p w14:paraId="6057AC71">
      <w:pPr>
        <w:ind w:firstLine="632"/>
        <w:rPr>
          <w:rFonts w:hint="eastAsia" w:ascii="仿宋" w:hAnsi="仿宋" w:eastAsia="仿宋" w:cs="仿宋"/>
          <w:szCs w:val="32"/>
        </w:rPr>
      </w:pPr>
      <w:r>
        <w:rPr>
          <w:rFonts w:hint="eastAsia" w:ascii="仿宋" w:hAnsi="仿宋" w:eastAsia="仿宋" w:cs="仿宋"/>
          <w:szCs w:val="32"/>
        </w:rPr>
        <w:t>在组委会的领导下，申办单位应牵头成立执行委员会，执行委员会至少需要包括比赛总监、资源管理、人员管理三个核心岗位。</w:t>
      </w:r>
    </w:p>
    <w:p w14:paraId="6057AC72">
      <w:pPr>
        <w:ind w:firstLine="634"/>
        <w:rPr>
          <w:rFonts w:hint="eastAsia" w:ascii="仿宋" w:hAnsi="仿宋" w:eastAsia="仿宋" w:cs="仿宋"/>
          <w:szCs w:val="32"/>
        </w:rPr>
      </w:pPr>
      <w:r>
        <w:rPr>
          <w:rFonts w:hint="eastAsia" w:ascii="仿宋" w:hAnsi="仿宋" w:eastAsia="仿宋" w:cs="仿宋"/>
          <w:b/>
          <w:bCs/>
          <w:szCs w:val="32"/>
        </w:rPr>
        <w:t>比赛总监：</w:t>
      </w:r>
      <w:r>
        <w:rPr>
          <w:rFonts w:hint="eastAsia" w:ascii="仿宋" w:hAnsi="仿宋" w:eastAsia="仿宋" w:cs="仿宋"/>
          <w:szCs w:val="32"/>
        </w:rPr>
        <w:t>负责撰写策划方案，对接比赛相关部门，对比赛经费进行统筹规划，将所有比赛材料进行汇编整理。</w:t>
      </w:r>
    </w:p>
    <w:p w14:paraId="6057AC73">
      <w:pPr>
        <w:ind w:firstLine="632"/>
        <w:rPr>
          <w:rFonts w:hint="eastAsia" w:ascii="仿宋" w:hAnsi="仿宋" w:eastAsia="仿宋" w:cs="仿宋"/>
          <w:szCs w:val="32"/>
        </w:rPr>
      </w:pPr>
      <w:r>
        <w:rPr>
          <w:rFonts w:hint="eastAsia" w:ascii="仿宋" w:hAnsi="仿宋" w:eastAsia="仿宋" w:cs="仿宋"/>
          <w:szCs w:val="32"/>
        </w:rPr>
        <w:t>下设：</w:t>
      </w:r>
    </w:p>
    <w:p w14:paraId="6057AC74">
      <w:pPr>
        <w:ind w:firstLine="632"/>
        <w:rPr>
          <w:rFonts w:hint="eastAsia" w:ascii="仿宋" w:hAnsi="仿宋" w:eastAsia="仿宋" w:cs="仿宋"/>
          <w:szCs w:val="32"/>
        </w:rPr>
      </w:pPr>
      <w:r>
        <w:rPr>
          <w:rFonts w:hint="eastAsia" w:ascii="仿宋" w:hAnsi="仿宋" w:eastAsia="仿宋" w:cs="仿宋"/>
          <w:szCs w:val="32"/>
        </w:rPr>
        <w:t>综合组：负责日常行政事务管理、文件管理、会议组织，确保组委会内部运作的高效和有序。</w:t>
      </w:r>
    </w:p>
    <w:p w14:paraId="6057AC75">
      <w:pPr>
        <w:ind w:firstLine="632"/>
        <w:rPr>
          <w:rFonts w:hint="eastAsia" w:ascii="仿宋" w:hAnsi="仿宋" w:eastAsia="仿宋" w:cs="仿宋"/>
          <w:szCs w:val="32"/>
        </w:rPr>
      </w:pPr>
      <w:r>
        <w:rPr>
          <w:rFonts w:hint="eastAsia" w:ascii="仿宋" w:hAnsi="仿宋" w:eastAsia="仿宋" w:cs="仿宋"/>
          <w:szCs w:val="32"/>
        </w:rPr>
        <w:t>机动组：负责比赛全过程机动待命。</w:t>
      </w:r>
    </w:p>
    <w:p w14:paraId="6057AC76">
      <w:pPr>
        <w:ind w:firstLine="634"/>
        <w:rPr>
          <w:rFonts w:hint="eastAsia" w:ascii="仿宋" w:hAnsi="仿宋" w:eastAsia="仿宋" w:cs="仿宋"/>
          <w:szCs w:val="32"/>
        </w:rPr>
      </w:pPr>
      <w:r>
        <w:rPr>
          <w:rFonts w:hint="eastAsia" w:ascii="仿宋" w:hAnsi="仿宋" w:eastAsia="仿宋" w:cs="仿宋"/>
          <w:b/>
          <w:bCs/>
          <w:szCs w:val="32"/>
        </w:rPr>
        <w:t>资源管理：</w:t>
      </w:r>
      <w:r>
        <w:rPr>
          <w:rFonts w:hint="eastAsia" w:ascii="仿宋" w:hAnsi="仿宋" w:eastAsia="仿宋" w:cs="仿宋"/>
          <w:szCs w:val="32"/>
        </w:rPr>
        <w:t>负责清点比赛物资、对接场地。组织赛前布场工作，比赛过程中设备维护与资源管理，组织赛后撤场工作。</w:t>
      </w:r>
    </w:p>
    <w:p w14:paraId="6057AC77">
      <w:pPr>
        <w:ind w:firstLine="632"/>
        <w:rPr>
          <w:rFonts w:hint="eastAsia" w:ascii="仿宋" w:hAnsi="仿宋" w:eastAsia="仿宋" w:cs="仿宋"/>
          <w:szCs w:val="32"/>
        </w:rPr>
      </w:pPr>
      <w:r>
        <w:rPr>
          <w:rFonts w:hint="eastAsia" w:ascii="仿宋" w:hAnsi="仿宋" w:eastAsia="仿宋" w:cs="仿宋"/>
          <w:szCs w:val="32"/>
        </w:rPr>
        <w:t>下设：</w:t>
      </w:r>
    </w:p>
    <w:p w14:paraId="6057AC78">
      <w:pPr>
        <w:ind w:firstLine="632"/>
        <w:rPr>
          <w:rFonts w:hint="eastAsia" w:ascii="仿宋" w:hAnsi="仿宋" w:eastAsia="仿宋" w:cs="仿宋"/>
          <w:szCs w:val="32"/>
        </w:rPr>
      </w:pPr>
      <w:r>
        <w:rPr>
          <w:rFonts w:hint="eastAsia" w:ascii="仿宋" w:hAnsi="仿宋" w:eastAsia="仿宋" w:cs="仿宋"/>
          <w:szCs w:val="32"/>
        </w:rPr>
        <w:t>后勤组：负责赛前布场和赛后撤场工作，对接参赛人员接站接机服务，引导参赛人员进退场，登记参赛人员酒店客房、车辆信息等，保障参赛人员比赛期间生活质量，做好比赛服务。</w:t>
      </w:r>
    </w:p>
    <w:p w14:paraId="6057AC79">
      <w:pPr>
        <w:ind w:firstLine="632"/>
        <w:rPr>
          <w:rFonts w:hint="eastAsia" w:ascii="仿宋" w:hAnsi="仿宋" w:eastAsia="仿宋" w:cs="仿宋"/>
          <w:szCs w:val="32"/>
        </w:rPr>
      </w:pPr>
      <w:r>
        <w:rPr>
          <w:rFonts w:hint="eastAsia" w:ascii="仿宋" w:hAnsi="仿宋" w:eastAsia="仿宋" w:cs="仿宋"/>
          <w:szCs w:val="32"/>
        </w:rPr>
        <w:t>签到组：负责比赛期间核验参赛人员身份，发放参赛证件、伴手礼等。</w:t>
      </w:r>
    </w:p>
    <w:p w14:paraId="6057AC7A">
      <w:pPr>
        <w:ind w:firstLine="632"/>
        <w:rPr>
          <w:rFonts w:hint="eastAsia" w:ascii="仿宋" w:hAnsi="仿宋" w:eastAsia="仿宋" w:cs="仿宋"/>
          <w:szCs w:val="32"/>
        </w:rPr>
      </w:pPr>
      <w:r>
        <w:rPr>
          <w:rFonts w:hint="eastAsia" w:ascii="仿宋" w:hAnsi="仿宋" w:eastAsia="仿宋" w:cs="仿宋"/>
          <w:szCs w:val="32"/>
        </w:rPr>
        <w:t>主持组：负责开场致辞，主持推动赛程以及比赛解说工作。赛后进行颁奖致辞。</w:t>
      </w:r>
    </w:p>
    <w:p w14:paraId="6057AC7B">
      <w:pPr>
        <w:ind w:firstLine="632"/>
        <w:rPr>
          <w:rFonts w:hint="eastAsia" w:ascii="仿宋" w:hAnsi="仿宋" w:eastAsia="仿宋" w:cs="仿宋"/>
          <w:szCs w:val="32"/>
        </w:rPr>
      </w:pPr>
      <w:r>
        <w:rPr>
          <w:rFonts w:hint="eastAsia" w:ascii="仿宋" w:hAnsi="仿宋" w:eastAsia="仿宋" w:cs="仿宋"/>
          <w:szCs w:val="32"/>
        </w:rPr>
        <w:t>颁奖组：负责根据比赛情况制作奖状，根据主持人口令上台为获奖运动员颁奖。</w:t>
      </w:r>
    </w:p>
    <w:p w14:paraId="6057AC7C">
      <w:pPr>
        <w:ind w:firstLine="634"/>
        <w:rPr>
          <w:rFonts w:hint="eastAsia" w:ascii="仿宋" w:hAnsi="仿宋" w:eastAsia="仿宋" w:cs="仿宋"/>
          <w:szCs w:val="32"/>
        </w:rPr>
      </w:pPr>
      <w:r>
        <w:rPr>
          <w:rFonts w:hint="eastAsia" w:ascii="仿宋" w:hAnsi="仿宋" w:eastAsia="仿宋" w:cs="仿宋"/>
          <w:b/>
          <w:bCs/>
          <w:szCs w:val="32"/>
        </w:rPr>
        <w:t>人员管理：</w:t>
      </w:r>
      <w:r>
        <w:rPr>
          <w:rFonts w:hint="eastAsia" w:ascii="仿宋" w:hAnsi="仿宋" w:eastAsia="仿宋" w:cs="仿宋"/>
          <w:szCs w:val="32"/>
        </w:rPr>
        <w:t>负责赛前招募比赛工作人员及志愿者，统计工作人员、志愿者、参赛人员信息，对工作人员及志愿者培训。</w:t>
      </w:r>
    </w:p>
    <w:p w14:paraId="6057AC7D">
      <w:pPr>
        <w:ind w:firstLine="632"/>
        <w:rPr>
          <w:rFonts w:hint="eastAsia" w:ascii="仿宋" w:hAnsi="仿宋" w:eastAsia="仿宋" w:cs="仿宋"/>
          <w:szCs w:val="32"/>
        </w:rPr>
      </w:pPr>
      <w:r>
        <w:rPr>
          <w:rFonts w:hint="eastAsia" w:ascii="仿宋" w:hAnsi="仿宋" w:eastAsia="仿宋" w:cs="仿宋"/>
          <w:szCs w:val="32"/>
        </w:rPr>
        <w:t>下设：</w:t>
      </w:r>
    </w:p>
    <w:p w14:paraId="6057AC7E">
      <w:pPr>
        <w:ind w:firstLine="632"/>
        <w:rPr>
          <w:rFonts w:hint="eastAsia" w:ascii="仿宋" w:hAnsi="仿宋" w:eastAsia="仿宋" w:cs="仿宋"/>
          <w:szCs w:val="32"/>
        </w:rPr>
      </w:pPr>
      <w:r>
        <w:rPr>
          <w:rFonts w:hint="eastAsia" w:ascii="仿宋" w:hAnsi="仿宋" w:eastAsia="仿宋" w:cs="仿宋"/>
          <w:szCs w:val="32"/>
        </w:rPr>
        <w:t>裁判组：需持有有效裁判员证件方可上岗工作。检录裁判、打乱裁判、记录裁判，分别开展比赛检录、运动员魔方打乱、监督运动员还原魔方过程并记录运动员成绩工作。</w:t>
      </w:r>
    </w:p>
    <w:p w14:paraId="6057AC7F">
      <w:pPr>
        <w:ind w:firstLine="632"/>
        <w:rPr>
          <w:rFonts w:hint="eastAsia" w:ascii="仿宋" w:hAnsi="仿宋" w:eastAsia="仿宋" w:cs="仿宋"/>
          <w:szCs w:val="32"/>
        </w:rPr>
      </w:pPr>
      <w:r>
        <w:rPr>
          <w:rFonts w:hint="eastAsia" w:ascii="仿宋" w:hAnsi="仿宋" w:eastAsia="仿宋" w:cs="仿宋"/>
          <w:szCs w:val="32"/>
        </w:rPr>
        <w:t>场控组：负责控制候场区、参赛区、观众区的秩序，严格把控好人员流动，对于台下不文明进行制止。</w:t>
      </w:r>
    </w:p>
    <w:p w14:paraId="6057AC80">
      <w:pPr>
        <w:ind w:firstLine="632"/>
        <w:rPr>
          <w:rFonts w:hint="eastAsia" w:ascii="仿宋" w:hAnsi="仿宋" w:eastAsia="仿宋" w:cs="仿宋"/>
          <w:szCs w:val="32"/>
        </w:rPr>
      </w:pPr>
      <w:r>
        <w:rPr>
          <w:rFonts w:hint="eastAsia" w:ascii="仿宋" w:hAnsi="仿宋" w:eastAsia="仿宋" w:cs="仿宋"/>
          <w:szCs w:val="32"/>
        </w:rPr>
        <w:t>摄影组：负责拍摄运动员风采照片、赛场照片、颁奖典礼等比赛相关资料。比赛期间按要求及时将比赛风采照片上传至网盘或小程序直播。</w:t>
      </w:r>
    </w:p>
    <w:p w14:paraId="6057AC81">
      <w:pPr>
        <w:ind w:firstLine="632"/>
        <w:rPr>
          <w:rFonts w:hint="eastAsia" w:ascii="仿宋" w:hAnsi="仿宋" w:eastAsia="仿宋" w:cs="仿宋"/>
          <w:szCs w:val="32"/>
        </w:rPr>
      </w:pPr>
      <w:r>
        <w:rPr>
          <w:rFonts w:hint="eastAsia" w:ascii="仿宋" w:hAnsi="仿宋" w:eastAsia="仿宋" w:cs="仿宋"/>
          <w:szCs w:val="32"/>
        </w:rPr>
        <w:t>宣传组：负责比赛期间在官方交流群内为运动员答疑工作，根据现场照片、成绩等信息在各平台做好宣传工作。</w:t>
      </w:r>
    </w:p>
    <w:p w14:paraId="6057AC82">
      <w:pPr>
        <w:ind w:firstLine="632"/>
        <w:rPr>
          <w:rFonts w:hint="eastAsia" w:ascii="仿宋" w:hAnsi="仿宋" w:eastAsia="仿宋" w:cs="仿宋"/>
          <w:szCs w:val="32"/>
        </w:rPr>
      </w:pPr>
      <w:r>
        <w:rPr>
          <w:rFonts w:hint="eastAsia" w:ascii="仿宋" w:hAnsi="仿宋" w:eastAsia="仿宋" w:cs="仿宋"/>
          <w:szCs w:val="32"/>
        </w:rPr>
        <w:t>志愿者工作组：执行委员会应设立专门机构负责志愿者的招募和管理，确保志愿者的数量和质量满足比赛需求。</w:t>
      </w:r>
    </w:p>
    <w:p w14:paraId="6057AC83">
      <w:pPr>
        <w:ind w:firstLine="632"/>
        <w:rPr>
          <w:rFonts w:hint="eastAsia" w:ascii="仿宋" w:hAnsi="仿宋" w:eastAsia="仿宋" w:cs="仿宋"/>
          <w:szCs w:val="32"/>
        </w:rPr>
      </w:pPr>
      <w:r>
        <w:rPr>
          <w:rFonts w:hint="eastAsia" w:ascii="仿宋" w:hAnsi="仿宋" w:eastAsia="仿宋" w:cs="仿宋"/>
          <w:szCs w:val="32"/>
        </w:rPr>
        <w:t>招募工作可以通过线上平台、学校、社区等多种渠道进行，确保志愿者来源广泛且素质优良。</w:t>
      </w:r>
    </w:p>
    <w:p w14:paraId="6057AC84">
      <w:pPr>
        <w:ind w:firstLine="632"/>
        <w:rPr>
          <w:rFonts w:hint="eastAsia" w:ascii="仿宋" w:hAnsi="仿宋" w:eastAsia="仿宋" w:cs="仿宋"/>
          <w:szCs w:val="32"/>
        </w:rPr>
      </w:pPr>
      <w:r>
        <w:rPr>
          <w:rFonts w:hint="eastAsia" w:ascii="仿宋" w:hAnsi="仿宋" w:eastAsia="仿宋" w:cs="仿宋"/>
          <w:szCs w:val="32"/>
        </w:rPr>
        <w:t>志愿者的基础培训内容应包括基础礼仪培训、魔方知识培训、比赛基本情况培训等。志愿者各岗位专项培训工作由各相关部门负责，确保志愿者能够胜任各自的工作。例如，负责引导的志愿者需要熟悉比赛场地和路线。</w:t>
      </w:r>
    </w:p>
    <w:p w14:paraId="6057AC85">
      <w:pPr>
        <w:pStyle w:val="2"/>
        <w:ind w:firstLine="632"/>
        <w:rPr>
          <w:rFonts w:hint="eastAsia" w:ascii="黑体" w:hAnsi="黑体" w:eastAsia="黑体" w:cs="黑体"/>
          <w:szCs w:val="32"/>
        </w:rPr>
      </w:pPr>
      <w:r>
        <w:rPr>
          <w:rFonts w:hint="eastAsia" w:ascii="黑体" w:hAnsi="黑体" w:eastAsia="黑体" w:cs="黑体"/>
          <w:szCs w:val="32"/>
        </w:rPr>
        <w:t>五、编制竞赛规程（具体的比赛项目，分组，晋级规则，奖励办法，比赛器材）</w:t>
      </w:r>
    </w:p>
    <w:p w14:paraId="6057AC86">
      <w:pPr>
        <w:ind w:firstLine="632"/>
        <w:rPr>
          <w:rFonts w:hint="eastAsia" w:ascii="仿宋" w:hAnsi="仿宋" w:eastAsia="仿宋" w:cs="仿宋"/>
          <w:szCs w:val="32"/>
        </w:rPr>
      </w:pPr>
      <w:r>
        <w:rPr>
          <w:rFonts w:hint="eastAsia" w:ascii="仿宋" w:hAnsi="仿宋" w:eastAsia="仿宋" w:cs="仿宋"/>
          <w:szCs w:val="32"/>
        </w:rPr>
        <w:t>竞赛规程由主办单位根据比赛目的、性质、规模、时间、场地等因素编制，同时要考虑比赛要求和限制条件等。竞赛规程一般包括下列内容：</w:t>
      </w:r>
    </w:p>
    <w:p w14:paraId="6057AC87">
      <w:pPr>
        <w:pStyle w:val="3"/>
        <w:adjustRightInd/>
        <w:snapToGrid/>
        <w:ind w:firstLine="632"/>
        <w:rPr>
          <w:rFonts w:hint="eastAsia" w:ascii="仿宋" w:hAnsi="仿宋" w:eastAsia="仿宋" w:cs="仿宋"/>
        </w:rPr>
      </w:pPr>
      <w:r>
        <w:rPr>
          <w:rFonts w:hint="eastAsia" w:ascii="仿宋" w:hAnsi="仿宋" w:eastAsia="仿宋" w:cs="仿宋"/>
        </w:rPr>
        <w:t>（一）比赛基本信息</w:t>
      </w:r>
    </w:p>
    <w:p w14:paraId="6057AC88">
      <w:pPr>
        <w:ind w:firstLine="632"/>
        <w:rPr>
          <w:rFonts w:hint="eastAsia" w:ascii="仿宋" w:hAnsi="仿宋" w:eastAsia="仿宋" w:cs="仿宋"/>
          <w:szCs w:val="32"/>
        </w:rPr>
      </w:pPr>
      <w:r>
        <w:rPr>
          <w:rFonts w:hint="eastAsia" w:ascii="仿宋" w:hAnsi="仿宋" w:eastAsia="仿宋" w:cs="仿宋"/>
          <w:szCs w:val="32"/>
        </w:rPr>
        <w:t>包括比赛名称、日期、地点，主办、承办、协办单位，以及参赛运动员的范围、规模等。</w:t>
      </w:r>
    </w:p>
    <w:p w14:paraId="6057AC89">
      <w:pPr>
        <w:pStyle w:val="3"/>
        <w:adjustRightInd/>
        <w:snapToGrid/>
        <w:ind w:firstLine="632"/>
        <w:rPr>
          <w:rFonts w:hint="eastAsia" w:ascii="仿宋" w:hAnsi="仿宋" w:eastAsia="仿宋" w:cs="仿宋"/>
        </w:rPr>
      </w:pPr>
      <w:r>
        <w:rPr>
          <w:rFonts w:hint="eastAsia" w:ascii="仿宋" w:hAnsi="仿宋" w:eastAsia="仿宋" w:cs="仿宋"/>
        </w:rPr>
        <w:t>（二）参加办法</w:t>
      </w:r>
    </w:p>
    <w:p w14:paraId="6057AC8A">
      <w:pPr>
        <w:ind w:firstLine="632"/>
        <w:rPr>
          <w:rFonts w:hint="eastAsia" w:ascii="仿宋" w:hAnsi="仿宋" w:eastAsia="仿宋" w:cs="仿宋"/>
          <w:szCs w:val="32"/>
        </w:rPr>
      </w:pPr>
      <w:r>
        <w:rPr>
          <w:rFonts w:hint="eastAsia" w:ascii="仿宋" w:hAnsi="仿宋" w:eastAsia="仿宋" w:cs="仿宋"/>
          <w:szCs w:val="32"/>
        </w:rPr>
        <w:t>明确参加队数、人数和参赛者年龄、性别、身体状况等资格规定，以及报名截止日期、各参赛队报名须注意的事项等。</w:t>
      </w:r>
    </w:p>
    <w:p w14:paraId="6057AC8B">
      <w:pPr>
        <w:pStyle w:val="3"/>
        <w:adjustRightInd/>
        <w:snapToGrid/>
        <w:ind w:firstLine="63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（三）竞赛办法</w:t>
      </w:r>
    </w:p>
    <w:p w14:paraId="6057AC8C">
      <w:pPr>
        <w:ind w:firstLine="632"/>
        <w:rPr>
          <w:rFonts w:hint="eastAsia" w:ascii="仿宋" w:hAnsi="仿宋" w:eastAsia="仿宋" w:cs="仿宋"/>
          <w:szCs w:val="32"/>
        </w:rPr>
      </w:pPr>
      <w:r>
        <w:rPr>
          <w:rFonts w:hint="eastAsia" w:ascii="仿宋" w:hAnsi="仿宋" w:eastAsia="仿宋" w:cs="仿宋"/>
          <w:szCs w:val="32"/>
        </w:rPr>
        <w:t>明确比赛所采用的赛制，以及所执行的规则、使用的比赛用具（包括魔方，计时器材等）和比赛中的特殊要求。</w:t>
      </w:r>
    </w:p>
    <w:p w14:paraId="6057AC8D">
      <w:pPr>
        <w:pStyle w:val="3"/>
        <w:adjustRightInd/>
        <w:snapToGrid/>
        <w:ind w:firstLine="632"/>
        <w:rPr>
          <w:rFonts w:hint="eastAsia" w:ascii="仿宋" w:hAnsi="仿宋" w:eastAsia="仿宋" w:cs="仿宋"/>
        </w:rPr>
      </w:pPr>
      <w:r>
        <w:rPr>
          <w:rFonts w:hint="eastAsia" w:ascii="仿宋" w:hAnsi="仿宋" w:eastAsia="仿宋" w:cs="仿宋"/>
        </w:rPr>
        <w:t>（四）经费开支</w:t>
      </w:r>
    </w:p>
    <w:p w14:paraId="6057AC8E">
      <w:pPr>
        <w:ind w:firstLine="632"/>
        <w:rPr>
          <w:rFonts w:hint="eastAsia" w:ascii="仿宋" w:hAnsi="仿宋" w:eastAsia="仿宋" w:cs="仿宋"/>
          <w:szCs w:val="32"/>
        </w:rPr>
      </w:pPr>
      <w:r>
        <w:rPr>
          <w:rFonts w:hint="eastAsia" w:ascii="仿宋" w:hAnsi="仿宋" w:eastAsia="仿宋" w:cs="仿宋"/>
          <w:szCs w:val="32"/>
        </w:rPr>
        <w:t>包括主办、承办单位和各参赛队应承担的费用 (如参赛费)和可享受待遇的内容、范围以及食宿标准等。</w:t>
      </w:r>
    </w:p>
    <w:p w14:paraId="6057AC8F">
      <w:pPr>
        <w:pStyle w:val="3"/>
        <w:adjustRightInd/>
        <w:snapToGrid/>
        <w:ind w:firstLine="632"/>
        <w:rPr>
          <w:rFonts w:hint="eastAsia" w:ascii="仿宋" w:hAnsi="仿宋" w:eastAsia="仿宋" w:cs="仿宋"/>
        </w:rPr>
      </w:pPr>
      <w:r>
        <w:rPr>
          <w:rFonts w:hint="eastAsia" w:ascii="仿宋" w:hAnsi="仿宋" w:eastAsia="仿宋" w:cs="仿宋"/>
        </w:rPr>
        <w:t>（五）奖励办法</w:t>
      </w:r>
    </w:p>
    <w:p w14:paraId="6057AC90">
      <w:pPr>
        <w:ind w:firstLine="632"/>
        <w:rPr>
          <w:rFonts w:hint="eastAsia" w:ascii="仿宋" w:hAnsi="仿宋" w:eastAsia="仿宋" w:cs="仿宋"/>
          <w:szCs w:val="32"/>
        </w:rPr>
      </w:pPr>
      <w:r>
        <w:rPr>
          <w:rFonts w:hint="eastAsia" w:ascii="仿宋" w:hAnsi="仿宋" w:eastAsia="仿宋" w:cs="仿宋"/>
          <w:szCs w:val="32"/>
        </w:rPr>
        <w:t>包括竞赛的录取名额、奖励形式和内容。</w:t>
      </w:r>
    </w:p>
    <w:p w14:paraId="6057AC91">
      <w:pPr>
        <w:pStyle w:val="3"/>
        <w:adjustRightInd/>
        <w:snapToGrid/>
        <w:ind w:firstLine="632"/>
        <w:rPr>
          <w:rFonts w:hint="eastAsia" w:ascii="仿宋" w:hAnsi="仿宋" w:eastAsia="仿宋" w:cs="仿宋"/>
        </w:rPr>
      </w:pPr>
      <w:r>
        <w:rPr>
          <w:rFonts w:hint="eastAsia" w:ascii="仿宋" w:hAnsi="仿宋" w:eastAsia="仿宋" w:cs="仿宋"/>
        </w:rPr>
        <w:t>（六）其他事项</w:t>
      </w:r>
    </w:p>
    <w:p w14:paraId="6057AC92">
      <w:pPr>
        <w:ind w:firstLine="632"/>
        <w:rPr>
          <w:rFonts w:hint="eastAsia" w:ascii="仿宋" w:hAnsi="仿宋" w:eastAsia="仿宋" w:cs="仿宋"/>
          <w:szCs w:val="32"/>
        </w:rPr>
      </w:pPr>
      <w:r>
        <w:rPr>
          <w:rFonts w:hint="eastAsia" w:ascii="仿宋" w:hAnsi="仿宋" w:eastAsia="仿宋" w:cs="仿宋"/>
          <w:szCs w:val="32"/>
        </w:rPr>
        <w:t>1.注明未尽事宜的处理办法或规程解释权所属单位。</w:t>
      </w:r>
    </w:p>
    <w:p w14:paraId="6057AC93">
      <w:pPr>
        <w:ind w:firstLine="632"/>
        <w:rPr>
          <w:rFonts w:hint="eastAsia" w:ascii="仿宋" w:hAnsi="仿宋" w:eastAsia="仿宋" w:cs="仿宋"/>
          <w:szCs w:val="32"/>
        </w:rPr>
      </w:pPr>
      <w:r>
        <w:rPr>
          <w:rFonts w:hint="eastAsia" w:ascii="仿宋" w:hAnsi="仿宋" w:eastAsia="仿宋" w:cs="仿宋"/>
          <w:szCs w:val="32"/>
        </w:rPr>
        <w:t>2.在竞赛规程的印发、传达过程中，比赛承办单位可协调当地的其他相关部门以文件或公函的形式加发通知。</w:t>
      </w:r>
    </w:p>
    <w:p w14:paraId="6057AC94">
      <w:pPr>
        <w:ind w:firstLine="632"/>
        <w:rPr>
          <w:rFonts w:hint="eastAsia" w:ascii="仿宋" w:hAnsi="仿宋" w:eastAsia="仿宋" w:cs="仿宋"/>
          <w:szCs w:val="32"/>
        </w:rPr>
      </w:pPr>
      <w:r>
        <w:rPr>
          <w:rFonts w:hint="eastAsia" w:ascii="仿宋" w:hAnsi="仿宋" w:eastAsia="仿宋" w:cs="仿宋"/>
          <w:szCs w:val="32"/>
        </w:rPr>
        <w:t>3.竞赛规程印发的时间：全国性比赛一般至少提前60天发布；遇特殊情况可进行适当调整。</w:t>
      </w:r>
    </w:p>
    <w:p w14:paraId="6057AC95">
      <w:pPr>
        <w:pStyle w:val="2"/>
        <w:ind w:firstLine="632"/>
        <w:rPr>
          <w:rFonts w:hint="eastAsia" w:ascii="黑体" w:hAnsi="黑体" w:eastAsia="黑体" w:cs="黑体"/>
          <w:szCs w:val="32"/>
        </w:rPr>
      </w:pPr>
      <w:r>
        <w:rPr>
          <w:rFonts w:hint="eastAsia" w:ascii="黑体" w:hAnsi="黑体" w:eastAsia="黑体" w:cs="黑体"/>
          <w:szCs w:val="32"/>
        </w:rPr>
        <w:t>六、报名接收与处理</w:t>
      </w:r>
    </w:p>
    <w:p w14:paraId="6057AC96">
      <w:pPr>
        <w:ind w:firstLine="632"/>
        <w:rPr>
          <w:rFonts w:hint="eastAsia" w:ascii="仿宋" w:hAnsi="仿宋" w:eastAsia="仿宋" w:cs="仿宋"/>
          <w:szCs w:val="32"/>
        </w:rPr>
      </w:pPr>
      <w:r>
        <w:rPr>
          <w:rFonts w:hint="eastAsia" w:ascii="仿宋" w:hAnsi="仿宋" w:eastAsia="仿宋" w:cs="仿宋"/>
          <w:szCs w:val="32"/>
        </w:rPr>
        <w:t>规程印发后，开始接受报名。报名完成后，应按照规程要求逐项进行审核，如有问题，应立即与相关单位或个人联系并要求整改。</w:t>
      </w:r>
    </w:p>
    <w:p w14:paraId="6057AC97">
      <w:pPr>
        <w:pStyle w:val="2"/>
        <w:ind w:firstLine="632"/>
        <w:rPr>
          <w:rFonts w:hint="eastAsia" w:ascii="黑体" w:hAnsi="黑体" w:eastAsia="黑体" w:cs="黑体"/>
          <w:szCs w:val="32"/>
        </w:rPr>
      </w:pPr>
      <w:r>
        <w:rPr>
          <w:rFonts w:hint="eastAsia" w:ascii="黑体" w:hAnsi="黑体" w:eastAsia="黑体" w:cs="黑体"/>
          <w:szCs w:val="32"/>
        </w:rPr>
        <w:t>七、编排</w:t>
      </w:r>
    </w:p>
    <w:p w14:paraId="6057AC98">
      <w:pPr>
        <w:ind w:firstLine="632"/>
        <w:rPr>
          <w:rFonts w:hint="eastAsia" w:ascii="仿宋" w:hAnsi="仿宋" w:eastAsia="仿宋" w:cs="仿宋"/>
          <w:szCs w:val="32"/>
        </w:rPr>
      </w:pPr>
      <w:r>
        <w:rPr>
          <w:rFonts w:hint="eastAsia" w:ascii="仿宋" w:hAnsi="仿宋" w:eastAsia="仿宋" w:cs="仿宋"/>
          <w:szCs w:val="32"/>
        </w:rPr>
        <w:t>报名结束之后，裁判组组根据竞赛规程和报名情况及时确定比赛方案。</w:t>
      </w:r>
    </w:p>
    <w:p w14:paraId="6057AC99">
      <w:pPr>
        <w:pStyle w:val="2"/>
        <w:ind w:firstLine="632"/>
        <w:rPr>
          <w:rFonts w:hint="eastAsia" w:ascii="黑体" w:hAnsi="黑体" w:eastAsia="黑体" w:cs="黑体"/>
          <w:szCs w:val="32"/>
        </w:rPr>
      </w:pPr>
      <w:r>
        <w:rPr>
          <w:rFonts w:hint="eastAsia" w:ascii="黑体" w:hAnsi="黑体" w:eastAsia="黑体" w:cs="黑体"/>
          <w:szCs w:val="32"/>
        </w:rPr>
        <w:t>八、编制秩序册</w:t>
      </w:r>
    </w:p>
    <w:p w14:paraId="6057AC9A">
      <w:pPr>
        <w:pStyle w:val="3"/>
        <w:adjustRightInd/>
        <w:snapToGrid/>
        <w:ind w:firstLine="632"/>
        <w:rPr>
          <w:rFonts w:hint="eastAsia" w:ascii="仿宋" w:hAnsi="仿宋" w:eastAsia="仿宋" w:cs="仿宋"/>
        </w:rPr>
      </w:pPr>
      <w:r>
        <w:rPr>
          <w:rFonts w:hint="eastAsia" w:ascii="仿宋" w:hAnsi="仿宋" w:eastAsia="仿宋" w:cs="仿宋"/>
        </w:rPr>
        <w:t>（一）内容编制</w:t>
      </w:r>
    </w:p>
    <w:p w14:paraId="6057AC9B">
      <w:pPr>
        <w:ind w:firstLine="632"/>
        <w:rPr>
          <w:rFonts w:hint="eastAsia" w:ascii="仿宋" w:hAnsi="仿宋" w:eastAsia="仿宋" w:cs="仿宋"/>
          <w:szCs w:val="32"/>
        </w:rPr>
      </w:pPr>
      <w:r>
        <w:rPr>
          <w:rFonts w:hint="eastAsia" w:ascii="仿宋" w:hAnsi="仿宋" w:eastAsia="仿宋" w:cs="仿宋"/>
          <w:szCs w:val="32"/>
        </w:rPr>
        <w:t>秩序册要做到准确、美观、实用。内容一般包括：</w:t>
      </w:r>
    </w:p>
    <w:p w14:paraId="6057AC9C">
      <w:pPr>
        <w:ind w:firstLine="634"/>
        <w:rPr>
          <w:rFonts w:hint="eastAsia" w:ascii="仿宋" w:hAnsi="仿宋" w:eastAsia="仿宋" w:cs="仿宋"/>
          <w:szCs w:val="32"/>
        </w:rPr>
      </w:pPr>
      <w:r>
        <w:rPr>
          <w:rFonts w:hint="eastAsia" w:ascii="仿宋" w:hAnsi="仿宋" w:eastAsia="仿宋" w:cs="仿宋"/>
          <w:b/>
          <w:bCs/>
          <w:szCs w:val="32"/>
        </w:rPr>
        <w:t>比赛通知：</w:t>
      </w:r>
      <w:r>
        <w:rPr>
          <w:rFonts w:hint="eastAsia" w:ascii="仿宋" w:hAnsi="仿宋" w:eastAsia="仿宋" w:cs="仿宋"/>
          <w:szCs w:val="32"/>
        </w:rPr>
        <w:t>公开发布的比赛通知。</w:t>
      </w:r>
    </w:p>
    <w:p w14:paraId="6057AC9D">
      <w:pPr>
        <w:ind w:firstLine="634"/>
        <w:rPr>
          <w:rFonts w:hint="eastAsia" w:ascii="仿宋" w:hAnsi="仿宋" w:eastAsia="仿宋" w:cs="仿宋"/>
          <w:szCs w:val="32"/>
        </w:rPr>
      </w:pPr>
      <w:r>
        <w:rPr>
          <w:rFonts w:hint="eastAsia" w:ascii="仿宋" w:hAnsi="仿宋" w:eastAsia="仿宋" w:cs="仿宋"/>
          <w:b/>
          <w:bCs/>
          <w:szCs w:val="32"/>
        </w:rPr>
        <w:t>竞赛规程：</w:t>
      </w:r>
      <w:r>
        <w:rPr>
          <w:rFonts w:hint="eastAsia" w:ascii="仿宋" w:hAnsi="仿宋" w:eastAsia="仿宋" w:cs="仿宋"/>
          <w:szCs w:val="32"/>
        </w:rPr>
        <w:t>详细的竞赛规程。</w:t>
      </w:r>
    </w:p>
    <w:p w14:paraId="6057AC9E">
      <w:pPr>
        <w:ind w:firstLine="634"/>
        <w:rPr>
          <w:rFonts w:hint="eastAsia" w:ascii="仿宋" w:hAnsi="仿宋" w:eastAsia="仿宋" w:cs="仿宋"/>
          <w:szCs w:val="32"/>
        </w:rPr>
      </w:pPr>
      <w:r>
        <w:rPr>
          <w:rFonts w:hint="eastAsia" w:ascii="仿宋" w:hAnsi="仿宋" w:eastAsia="仿宋" w:cs="仿宋"/>
          <w:b/>
          <w:bCs/>
          <w:szCs w:val="32"/>
        </w:rPr>
        <w:t>组委会及人员名单：</w:t>
      </w:r>
      <w:r>
        <w:rPr>
          <w:rFonts w:hint="eastAsia" w:ascii="仿宋" w:hAnsi="仿宋" w:eastAsia="仿宋" w:cs="仿宋"/>
          <w:szCs w:val="32"/>
        </w:rPr>
        <w:t>组委会及各工作机构及人员名单。</w:t>
      </w:r>
    </w:p>
    <w:p w14:paraId="6057AC9F">
      <w:pPr>
        <w:ind w:firstLine="634"/>
        <w:rPr>
          <w:rFonts w:hint="eastAsia" w:ascii="仿宋" w:hAnsi="仿宋" w:eastAsia="仿宋" w:cs="仿宋"/>
          <w:b/>
          <w:bCs/>
          <w:szCs w:val="32"/>
        </w:rPr>
      </w:pPr>
      <w:r>
        <w:rPr>
          <w:rFonts w:hint="eastAsia" w:ascii="仿宋" w:hAnsi="仿宋" w:eastAsia="仿宋" w:cs="仿宋"/>
          <w:b/>
          <w:bCs/>
          <w:szCs w:val="32"/>
        </w:rPr>
        <w:t>仲裁委员会名单：</w:t>
      </w:r>
      <w:r>
        <w:rPr>
          <w:rFonts w:hint="eastAsia" w:ascii="仿宋" w:hAnsi="仿宋" w:eastAsia="仿宋" w:cs="仿宋"/>
          <w:szCs w:val="32"/>
        </w:rPr>
        <w:t>仲裁委员会名单。</w:t>
      </w:r>
    </w:p>
    <w:p w14:paraId="6057ACA0">
      <w:pPr>
        <w:ind w:firstLine="634"/>
        <w:rPr>
          <w:rFonts w:hint="eastAsia" w:ascii="仿宋" w:hAnsi="仿宋" w:eastAsia="仿宋" w:cs="仿宋"/>
          <w:szCs w:val="32"/>
        </w:rPr>
      </w:pPr>
      <w:r>
        <w:rPr>
          <w:rFonts w:hint="eastAsia" w:ascii="仿宋" w:hAnsi="仿宋" w:eastAsia="仿宋" w:cs="仿宋"/>
          <w:b/>
          <w:bCs/>
          <w:szCs w:val="32"/>
        </w:rPr>
        <w:t>裁判员名单：</w:t>
      </w:r>
      <w:r>
        <w:rPr>
          <w:rFonts w:hint="eastAsia" w:ascii="仿宋" w:hAnsi="仿宋" w:eastAsia="仿宋" w:cs="仿宋"/>
          <w:szCs w:val="32"/>
        </w:rPr>
        <w:t>裁判员名单。</w:t>
      </w:r>
    </w:p>
    <w:p w14:paraId="6057ACA1">
      <w:pPr>
        <w:ind w:firstLine="634"/>
        <w:rPr>
          <w:rFonts w:hint="eastAsia" w:ascii="仿宋" w:hAnsi="仿宋" w:eastAsia="仿宋" w:cs="仿宋"/>
          <w:szCs w:val="32"/>
        </w:rPr>
      </w:pPr>
      <w:r>
        <w:rPr>
          <w:rFonts w:hint="eastAsia" w:ascii="仿宋" w:hAnsi="仿宋" w:eastAsia="仿宋" w:cs="仿宋"/>
          <w:b/>
          <w:bCs/>
          <w:szCs w:val="32"/>
        </w:rPr>
        <w:t>参赛人员名单：</w:t>
      </w:r>
      <w:r>
        <w:rPr>
          <w:rFonts w:hint="eastAsia" w:ascii="仿宋" w:hAnsi="仿宋" w:eastAsia="仿宋" w:cs="仿宋"/>
          <w:szCs w:val="32"/>
        </w:rPr>
        <w:t>各参赛运动员名单。</w:t>
      </w:r>
    </w:p>
    <w:p w14:paraId="6057ACA2">
      <w:pPr>
        <w:ind w:firstLine="634"/>
        <w:rPr>
          <w:rFonts w:hint="eastAsia" w:ascii="仿宋" w:hAnsi="仿宋" w:eastAsia="仿宋" w:cs="仿宋"/>
          <w:szCs w:val="32"/>
        </w:rPr>
      </w:pPr>
      <w:r>
        <w:rPr>
          <w:rFonts w:hint="eastAsia" w:ascii="仿宋" w:hAnsi="仿宋" w:eastAsia="仿宋" w:cs="仿宋"/>
          <w:b/>
          <w:bCs/>
          <w:szCs w:val="32"/>
        </w:rPr>
        <w:t>大会活动日程表：</w:t>
      </w:r>
      <w:r>
        <w:rPr>
          <w:rFonts w:hint="eastAsia" w:ascii="仿宋" w:hAnsi="仿宋" w:eastAsia="仿宋" w:cs="仿宋"/>
          <w:szCs w:val="32"/>
        </w:rPr>
        <w:t>比赛活动安排表。</w:t>
      </w:r>
    </w:p>
    <w:p w14:paraId="6057ACA3">
      <w:pPr>
        <w:ind w:firstLine="634"/>
        <w:rPr>
          <w:rFonts w:hint="eastAsia" w:ascii="仿宋" w:hAnsi="仿宋" w:eastAsia="仿宋" w:cs="仿宋"/>
          <w:b/>
          <w:bCs/>
          <w:szCs w:val="32"/>
        </w:rPr>
      </w:pPr>
      <w:r>
        <w:rPr>
          <w:rFonts w:hint="eastAsia" w:ascii="仿宋" w:hAnsi="仿宋" w:eastAsia="仿宋" w:cs="仿宋"/>
          <w:b/>
          <w:bCs/>
          <w:szCs w:val="32"/>
        </w:rPr>
        <w:t>竞赛日程表：</w:t>
      </w:r>
      <w:r>
        <w:rPr>
          <w:rFonts w:hint="eastAsia" w:ascii="仿宋" w:hAnsi="仿宋" w:eastAsia="仿宋" w:cs="仿宋"/>
          <w:szCs w:val="32"/>
        </w:rPr>
        <w:t>参赛运动员竞赛日程表。</w:t>
      </w:r>
    </w:p>
    <w:p w14:paraId="6057ACA4">
      <w:pPr>
        <w:ind w:firstLine="634"/>
        <w:rPr>
          <w:rFonts w:hint="eastAsia" w:ascii="仿宋" w:hAnsi="仿宋" w:eastAsia="仿宋" w:cs="仿宋"/>
          <w:b/>
          <w:bCs/>
          <w:szCs w:val="32"/>
        </w:rPr>
      </w:pPr>
      <w:r>
        <w:rPr>
          <w:rFonts w:hint="eastAsia" w:ascii="仿宋" w:hAnsi="仿宋" w:eastAsia="仿宋" w:cs="仿宋"/>
          <w:b/>
          <w:bCs/>
          <w:szCs w:val="32"/>
        </w:rPr>
        <w:t>比赛奖励办法：</w:t>
      </w:r>
      <w:r>
        <w:rPr>
          <w:rFonts w:hint="eastAsia" w:ascii="仿宋" w:hAnsi="仿宋" w:eastAsia="仿宋" w:cs="仿宋"/>
          <w:szCs w:val="32"/>
        </w:rPr>
        <w:t>组委会设置除比赛冠亚季外的奖项评选。</w:t>
      </w:r>
    </w:p>
    <w:p w14:paraId="6057ACA5">
      <w:pPr>
        <w:ind w:firstLine="634"/>
        <w:rPr>
          <w:rFonts w:hint="eastAsia" w:ascii="仿宋" w:hAnsi="仿宋" w:eastAsia="仿宋" w:cs="仿宋"/>
          <w:szCs w:val="32"/>
        </w:rPr>
      </w:pPr>
      <w:r>
        <w:rPr>
          <w:rFonts w:hint="eastAsia" w:ascii="仿宋" w:hAnsi="仿宋" w:eastAsia="仿宋" w:cs="仿宋"/>
          <w:b/>
          <w:bCs/>
          <w:szCs w:val="32"/>
        </w:rPr>
        <w:t>注意事项：</w:t>
      </w:r>
      <w:r>
        <w:rPr>
          <w:rFonts w:hint="eastAsia" w:ascii="仿宋" w:hAnsi="仿宋" w:eastAsia="仿宋" w:cs="仿宋"/>
          <w:szCs w:val="32"/>
        </w:rPr>
        <w:t>比赛注意事项、场地平面图等。</w:t>
      </w:r>
    </w:p>
    <w:p w14:paraId="6057ACA6">
      <w:pPr>
        <w:pStyle w:val="3"/>
        <w:adjustRightInd/>
        <w:snapToGrid/>
        <w:ind w:firstLine="632"/>
        <w:rPr>
          <w:rFonts w:hint="eastAsia" w:ascii="仿宋" w:hAnsi="仿宋" w:eastAsia="仿宋" w:cs="仿宋"/>
        </w:rPr>
      </w:pPr>
      <w:r>
        <w:rPr>
          <w:rFonts w:hint="eastAsia" w:ascii="仿宋" w:hAnsi="仿宋" w:eastAsia="仿宋" w:cs="仿宋"/>
        </w:rPr>
        <w:t>（二）设计要求</w:t>
      </w:r>
    </w:p>
    <w:p w14:paraId="6057ACA7">
      <w:pPr>
        <w:ind w:firstLine="632"/>
        <w:rPr>
          <w:rFonts w:hint="eastAsia" w:ascii="仿宋" w:hAnsi="仿宋" w:eastAsia="仿宋" w:cs="仿宋"/>
          <w:szCs w:val="32"/>
        </w:rPr>
      </w:pPr>
      <w:r>
        <w:rPr>
          <w:rFonts w:hint="eastAsia" w:ascii="仿宋" w:hAnsi="仿宋" w:eastAsia="仿宋" w:cs="仿宋"/>
          <w:szCs w:val="32"/>
        </w:rPr>
        <w:t>1.封面、封底设计应主题鲜明，体现比赛承办地特色和比赛主要信息；</w:t>
      </w:r>
    </w:p>
    <w:p w14:paraId="6057ACA8">
      <w:pPr>
        <w:ind w:firstLine="632"/>
        <w:rPr>
          <w:rFonts w:hint="eastAsia" w:ascii="仿宋" w:hAnsi="仿宋" w:eastAsia="仿宋" w:cs="仿宋"/>
          <w:szCs w:val="32"/>
        </w:rPr>
      </w:pPr>
      <w:r>
        <w:rPr>
          <w:rFonts w:hint="eastAsia" w:ascii="仿宋" w:hAnsi="仿宋" w:eastAsia="仿宋" w:cs="仿宋"/>
          <w:szCs w:val="32"/>
        </w:rPr>
        <w:t>2.比赛如有市场商业赞助、特别鸣谢单位，应单独列出；</w:t>
      </w:r>
    </w:p>
    <w:p w14:paraId="6057ACA9">
      <w:pPr>
        <w:ind w:firstLine="632"/>
        <w:rPr>
          <w:rFonts w:hint="eastAsia" w:ascii="仿宋" w:hAnsi="仿宋" w:eastAsia="仿宋" w:cs="仿宋"/>
          <w:szCs w:val="32"/>
        </w:rPr>
      </w:pPr>
      <w:r>
        <w:rPr>
          <w:rFonts w:hint="eastAsia" w:ascii="仿宋" w:hAnsi="仿宋" w:eastAsia="仿宋" w:cs="仿宋"/>
          <w:szCs w:val="32"/>
        </w:rPr>
        <w:t>3.社体中心要求的其他内容，如有要求应根据版面分布予以列出。</w:t>
      </w:r>
    </w:p>
    <w:p w14:paraId="6057ACAA">
      <w:pPr>
        <w:pStyle w:val="2"/>
        <w:ind w:firstLine="632"/>
        <w:rPr>
          <w:rFonts w:hint="eastAsia" w:ascii="黑体" w:hAnsi="黑体" w:eastAsia="黑体" w:cs="黑体"/>
          <w:szCs w:val="32"/>
        </w:rPr>
      </w:pPr>
      <w:r>
        <w:rPr>
          <w:rFonts w:hint="eastAsia" w:ascii="黑体" w:hAnsi="黑体" w:eastAsia="黑体" w:cs="黑体"/>
          <w:szCs w:val="32"/>
        </w:rPr>
        <w:t>九、裁判员的学习与实习</w:t>
      </w:r>
    </w:p>
    <w:p w14:paraId="6057ACAB">
      <w:pPr>
        <w:ind w:firstLine="632"/>
        <w:rPr>
          <w:rFonts w:hint="eastAsia" w:ascii="仿宋" w:hAnsi="仿宋" w:eastAsia="仿宋" w:cs="仿宋"/>
          <w:szCs w:val="32"/>
        </w:rPr>
      </w:pPr>
      <w:r>
        <w:rPr>
          <w:rFonts w:hint="eastAsia" w:ascii="仿宋" w:hAnsi="仿宋" w:eastAsia="仿宋" w:cs="仿宋"/>
          <w:szCs w:val="32"/>
        </w:rPr>
        <w:t>赛前裁判长应组织全体裁判员学习竞赛规则、竞赛规程、裁判员职责等有关文件。</w:t>
      </w:r>
    </w:p>
    <w:p w14:paraId="6057ACAC">
      <w:pPr>
        <w:ind w:firstLine="632"/>
        <w:rPr>
          <w:rFonts w:hint="eastAsia" w:ascii="仿宋" w:hAnsi="仿宋" w:eastAsia="仿宋" w:cs="仿宋"/>
          <w:szCs w:val="32"/>
        </w:rPr>
      </w:pPr>
      <w:r>
        <w:rPr>
          <w:rFonts w:hint="eastAsia" w:ascii="仿宋" w:hAnsi="仿宋" w:eastAsia="仿宋" w:cs="仿宋"/>
          <w:szCs w:val="32"/>
        </w:rPr>
        <w:t>裁判员的学习可采用集中讲授和分组讨论等形式，裁判员服装应统一。</w:t>
      </w:r>
    </w:p>
    <w:p w14:paraId="6057ACAD">
      <w:pPr>
        <w:pStyle w:val="2"/>
        <w:ind w:firstLine="632"/>
        <w:rPr>
          <w:rFonts w:hint="eastAsia" w:ascii="黑体" w:hAnsi="黑体" w:eastAsia="黑体" w:cs="黑体"/>
          <w:szCs w:val="32"/>
        </w:rPr>
      </w:pPr>
      <w:r>
        <w:rPr>
          <w:rFonts w:hint="eastAsia" w:ascii="黑体" w:hAnsi="黑体" w:eastAsia="黑体" w:cs="黑体"/>
          <w:szCs w:val="32"/>
        </w:rPr>
        <w:t>十、参赛运动员报到</w:t>
      </w:r>
    </w:p>
    <w:p w14:paraId="6057ACAE">
      <w:pPr>
        <w:ind w:firstLine="632"/>
        <w:rPr>
          <w:rFonts w:hint="eastAsia" w:ascii="仿宋" w:hAnsi="仿宋" w:eastAsia="仿宋" w:cs="仿宋"/>
          <w:szCs w:val="32"/>
        </w:rPr>
      </w:pPr>
      <w:r>
        <w:rPr>
          <w:rFonts w:hint="eastAsia" w:ascii="仿宋" w:hAnsi="仿宋" w:eastAsia="仿宋" w:cs="仿宋"/>
          <w:szCs w:val="32"/>
        </w:rPr>
        <w:t>组委会安排专人进行参赛运动员的报到服务工作并发放资料。报到流程为：</w:t>
      </w:r>
    </w:p>
    <w:p w14:paraId="6057ACAF">
      <w:pPr>
        <w:pStyle w:val="35"/>
        <w:numPr>
          <w:ilvl w:val="0"/>
          <w:numId w:val="1"/>
        </w:numPr>
        <w:ind w:firstLineChars="0"/>
        <w:contextualSpacing w:val="0"/>
        <w:rPr>
          <w:rFonts w:hint="eastAsia" w:ascii="仿宋" w:hAnsi="仿宋" w:eastAsia="仿宋" w:cs="仿宋"/>
          <w:szCs w:val="32"/>
        </w:rPr>
      </w:pPr>
      <w:r>
        <w:rPr>
          <w:rFonts w:hint="eastAsia" w:ascii="仿宋" w:hAnsi="仿宋" w:eastAsia="仿宋" w:cs="仿宋"/>
          <w:szCs w:val="32"/>
        </w:rPr>
        <w:t>签到；</w:t>
      </w:r>
    </w:p>
    <w:p w14:paraId="6057ACB0">
      <w:pPr>
        <w:pStyle w:val="35"/>
        <w:numPr>
          <w:ilvl w:val="0"/>
          <w:numId w:val="1"/>
        </w:numPr>
        <w:ind w:firstLineChars="0"/>
        <w:contextualSpacing w:val="0"/>
        <w:rPr>
          <w:rFonts w:hint="eastAsia" w:ascii="仿宋" w:hAnsi="仿宋" w:eastAsia="仿宋" w:cs="仿宋"/>
          <w:szCs w:val="32"/>
        </w:rPr>
      </w:pPr>
      <w:r>
        <w:rPr>
          <w:rFonts w:hint="eastAsia" w:ascii="仿宋" w:hAnsi="仿宋" w:eastAsia="仿宋" w:cs="仿宋"/>
          <w:szCs w:val="32"/>
        </w:rPr>
        <w:t>核对信息；</w:t>
      </w:r>
    </w:p>
    <w:p w14:paraId="6057ACB1">
      <w:pPr>
        <w:pStyle w:val="35"/>
        <w:numPr>
          <w:ilvl w:val="0"/>
          <w:numId w:val="1"/>
        </w:numPr>
        <w:ind w:firstLineChars="0"/>
        <w:rPr>
          <w:rFonts w:hint="eastAsia" w:ascii="仿宋" w:hAnsi="仿宋" w:eastAsia="仿宋" w:cs="仿宋"/>
          <w:szCs w:val="32"/>
        </w:rPr>
      </w:pPr>
      <w:r>
        <w:rPr>
          <w:rFonts w:hint="eastAsia" w:ascii="仿宋" w:hAnsi="仿宋" w:eastAsia="仿宋" w:cs="仿宋"/>
          <w:szCs w:val="32"/>
        </w:rPr>
        <w:t>签署自愿参赛责任书；</w:t>
      </w:r>
    </w:p>
    <w:p w14:paraId="6057ACB2">
      <w:pPr>
        <w:pStyle w:val="35"/>
        <w:numPr>
          <w:ilvl w:val="0"/>
          <w:numId w:val="1"/>
        </w:numPr>
        <w:ind w:firstLineChars="0"/>
        <w:rPr>
          <w:rFonts w:hint="eastAsia" w:ascii="仿宋" w:hAnsi="仿宋" w:eastAsia="仿宋" w:cs="仿宋"/>
          <w:szCs w:val="32"/>
        </w:rPr>
      </w:pPr>
      <w:r>
        <w:rPr>
          <w:rFonts w:hint="eastAsia" w:ascii="仿宋" w:hAnsi="仿宋" w:eastAsia="仿宋" w:cs="仿宋"/>
          <w:szCs w:val="32"/>
        </w:rPr>
        <w:t>发放资料：</w:t>
      </w:r>
    </w:p>
    <w:p w14:paraId="6057ACB3">
      <w:pPr>
        <w:ind w:firstLine="632"/>
        <w:rPr>
          <w:rFonts w:hint="eastAsia" w:ascii="仿宋" w:hAnsi="仿宋" w:eastAsia="仿宋" w:cs="仿宋"/>
          <w:szCs w:val="32"/>
        </w:rPr>
      </w:pPr>
      <w:r>
        <w:rPr>
          <w:rFonts w:hint="eastAsia" w:ascii="仿宋" w:hAnsi="仿宋" w:eastAsia="仿宋" w:cs="仿宋"/>
          <w:szCs w:val="32"/>
        </w:rPr>
        <w:t>1.秩序册（可以电子版替代）</w:t>
      </w:r>
    </w:p>
    <w:p w14:paraId="6057ACB4">
      <w:pPr>
        <w:ind w:firstLine="632"/>
        <w:rPr>
          <w:rFonts w:hint="eastAsia" w:ascii="仿宋" w:hAnsi="仿宋" w:eastAsia="仿宋" w:cs="仿宋"/>
          <w:szCs w:val="32"/>
        </w:rPr>
      </w:pPr>
      <w:r>
        <w:rPr>
          <w:rFonts w:hint="eastAsia" w:ascii="仿宋" w:hAnsi="仿宋" w:eastAsia="仿宋" w:cs="仿宋"/>
          <w:szCs w:val="32"/>
        </w:rPr>
        <w:t>2.证件</w:t>
      </w:r>
    </w:p>
    <w:p w14:paraId="6057ACB5">
      <w:pPr>
        <w:ind w:firstLine="632"/>
        <w:rPr>
          <w:rFonts w:hint="eastAsia" w:ascii="仿宋" w:hAnsi="仿宋" w:eastAsia="仿宋" w:cs="仿宋"/>
          <w:szCs w:val="32"/>
        </w:rPr>
      </w:pPr>
      <w:r>
        <w:rPr>
          <w:rFonts w:hint="eastAsia" w:ascii="仿宋" w:hAnsi="仿宋" w:eastAsia="仿宋" w:cs="仿宋"/>
          <w:szCs w:val="32"/>
        </w:rPr>
        <w:t>3.有关通知、注意事项</w:t>
      </w:r>
    </w:p>
    <w:p w14:paraId="6057ACB6">
      <w:pPr>
        <w:ind w:firstLine="632"/>
        <w:rPr>
          <w:rFonts w:hint="eastAsia" w:ascii="仿宋" w:hAnsi="仿宋" w:eastAsia="仿宋" w:cs="仿宋"/>
          <w:szCs w:val="32"/>
        </w:rPr>
      </w:pPr>
      <w:r>
        <w:rPr>
          <w:rFonts w:hint="eastAsia" w:ascii="仿宋" w:hAnsi="仿宋" w:eastAsia="仿宋" w:cs="仿宋"/>
          <w:szCs w:val="32"/>
        </w:rPr>
        <w:t>4.参赛包</w:t>
      </w:r>
    </w:p>
    <w:p w14:paraId="6057ACB7">
      <w:pPr>
        <w:pStyle w:val="2"/>
        <w:ind w:firstLine="632"/>
        <w:rPr>
          <w:rFonts w:hint="eastAsia" w:ascii="黑体" w:hAnsi="黑体" w:eastAsia="黑体" w:cs="黑体"/>
          <w:szCs w:val="32"/>
        </w:rPr>
      </w:pPr>
      <w:r>
        <w:rPr>
          <w:rFonts w:hint="eastAsia" w:ascii="黑体" w:hAnsi="黑体" w:eastAsia="黑体" w:cs="黑体"/>
          <w:szCs w:val="32"/>
        </w:rPr>
        <w:t>十一、赛前会议</w:t>
      </w:r>
    </w:p>
    <w:p w14:paraId="6057ACB8">
      <w:pPr>
        <w:rPr>
          <w:rFonts w:hint="eastAsia" w:ascii="仿宋" w:hAnsi="仿宋" w:eastAsia="仿宋" w:cs="仿宋"/>
          <w:szCs w:val="32"/>
        </w:rPr>
      </w:pPr>
      <w:r>
        <w:rPr>
          <w:rFonts w:hint="eastAsia" w:ascii="仿宋" w:hAnsi="仿宋" w:eastAsia="仿宋" w:cs="仿宋"/>
          <w:szCs w:val="32"/>
        </w:rPr>
        <w:t>赛前应由组委会组织联席会议，由裁判长组织技术会议；</w:t>
      </w:r>
    </w:p>
    <w:p w14:paraId="6057ACB9">
      <w:pPr>
        <w:ind w:firstLine="632"/>
        <w:rPr>
          <w:rFonts w:hint="eastAsia" w:ascii="仿宋" w:hAnsi="仿宋" w:eastAsia="仿宋" w:cs="仿宋"/>
          <w:szCs w:val="32"/>
        </w:rPr>
      </w:pPr>
      <w:r>
        <w:rPr>
          <w:rFonts w:hint="eastAsia" w:ascii="仿宋" w:hAnsi="仿宋" w:eastAsia="仿宋" w:cs="仿宋"/>
          <w:szCs w:val="32"/>
        </w:rPr>
        <w:t>根据规程规定的时间召开裁判员培训、志愿者培训、技术官员培训。组委会需要提前准备好足够容纳参会人员的会议室。会议室需要配备音响、话筒、投影仪、白板及可擦笔等器材。</w:t>
      </w:r>
    </w:p>
    <w:p w14:paraId="6057ACBA">
      <w:pPr>
        <w:ind w:firstLine="632"/>
        <w:rPr>
          <w:rFonts w:hint="eastAsia" w:ascii="仿宋" w:hAnsi="仿宋" w:eastAsia="仿宋" w:cs="仿宋"/>
          <w:szCs w:val="32"/>
        </w:rPr>
      </w:pPr>
      <w:r>
        <w:rPr>
          <w:rFonts w:hint="eastAsia" w:ascii="仿宋" w:hAnsi="仿宋" w:eastAsia="仿宋" w:cs="仿宋"/>
          <w:szCs w:val="32"/>
        </w:rPr>
        <w:t>裁判长在裁判员培训会议上，应将担任本次比赛的裁判员队伍状况、水平、学习、实习情况，以及本次比赛的注意事项和特殊规定等向各裁判员说明。</w:t>
      </w:r>
    </w:p>
    <w:p w14:paraId="6057ACBB">
      <w:pPr>
        <w:pStyle w:val="2"/>
        <w:ind w:firstLine="632"/>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十二、开幕式</w:t>
      </w:r>
    </w:p>
    <w:p w14:paraId="6057ACBC">
      <w:pPr>
        <w:ind w:firstLine="632"/>
        <w:rPr>
          <w:rFonts w:hint="eastAsia" w:ascii="仿宋" w:hAnsi="仿宋" w:eastAsia="仿宋" w:cs="仿宋"/>
          <w:szCs w:val="32"/>
        </w:rPr>
      </w:pPr>
      <w:r>
        <w:rPr>
          <w:rFonts w:hint="eastAsia" w:ascii="仿宋" w:hAnsi="仿宋" w:eastAsia="仿宋" w:cs="仿宋"/>
          <w:szCs w:val="32"/>
        </w:rPr>
        <w:t>应按照比赛流程规定的时间进行开幕式，宣布比赛正式开始。</w:t>
      </w:r>
    </w:p>
    <w:p w14:paraId="6057ACBD">
      <w:pPr>
        <w:pStyle w:val="2"/>
        <w:ind w:firstLine="632"/>
        <w:rPr>
          <w:rFonts w:hint="eastAsia" w:ascii="黑体" w:hAnsi="黑体" w:eastAsia="黑体" w:cs="黑体"/>
          <w:szCs w:val="32"/>
        </w:rPr>
      </w:pPr>
      <w:r>
        <w:rPr>
          <w:rFonts w:hint="eastAsia" w:ascii="黑体" w:hAnsi="黑体" w:eastAsia="黑体" w:cs="黑体"/>
          <w:szCs w:val="32"/>
        </w:rPr>
        <w:t>十三、比赛</w:t>
      </w:r>
    </w:p>
    <w:p w14:paraId="6057ACBE">
      <w:pPr>
        <w:ind w:firstLine="632"/>
        <w:rPr>
          <w:rFonts w:hint="eastAsia" w:ascii="仿宋" w:hAnsi="仿宋" w:eastAsia="仿宋" w:cs="仿宋"/>
          <w:szCs w:val="32"/>
        </w:rPr>
      </w:pPr>
      <w:r>
        <w:rPr>
          <w:rFonts w:hint="eastAsia" w:ascii="仿宋" w:hAnsi="仿宋" w:eastAsia="仿宋" w:cs="仿宋"/>
          <w:szCs w:val="32"/>
        </w:rPr>
        <w:t>比赛开始后，裁判员工作应按规定程序进行，各裁判员应各司其职做好执裁工作。</w:t>
      </w:r>
    </w:p>
    <w:p w14:paraId="6057ACBF">
      <w:pPr>
        <w:pStyle w:val="2"/>
        <w:ind w:firstLine="632"/>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十四、赛中执行工作（重点内容）</w:t>
      </w:r>
    </w:p>
    <w:p w14:paraId="6057ACC0">
      <w:pPr>
        <w:ind w:firstLine="632"/>
        <w:rPr>
          <w:rFonts w:hint="eastAsia" w:ascii="仿宋" w:hAnsi="仿宋" w:eastAsia="仿宋" w:cs="仿宋"/>
          <w:szCs w:val="32"/>
        </w:rPr>
      </w:pPr>
      <w:r>
        <w:rPr>
          <w:rFonts w:hint="eastAsia" w:ascii="仿宋" w:hAnsi="仿宋" w:eastAsia="仿宋" w:cs="仿宋"/>
          <w:szCs w:val="32"/>
        </w:rPr>
        <w:t>从裁判员及各参赛人员报到开始，即可认为进入比赛阶段。</w:t>
      </w:r>
    </w:p>
    <w:p w14:paraId="6057ACC1">
      <w:pPr>
        <w:ind w:firstLine="632"/>
        <w:rPr>
          <w:rFonts w:hint="eastAsia" w:ascii="仿宋" w:hAnsi="仿宋" w:eastAsia="仿宋" w:cs="仿宋"/>
          <w:szCs w:val="32"/>
        </w:rPr>
      </w:pPr>
      <w:r>
        <w:rPr>
          <w:rFonts w:hint="eastAsia" w:ascii="仿宋" w:hAnsi="仿宋" w:eastAsia="仿宋" w:cs="仿宋"/>
          <w:szCs w:val="32"/>
        </w:rPr>
        <w:t>魔方必须由打乱裁判按组委会生成的打乱步骤进行打乱，打乱步骤或状态必须对打乱裁判以外的所有人保密。</w:t>
      </w:r>
    </w:p>
    <w:p w14:paraId="6057ACC2">
      <w:pPr>
        <w:ind w:firstLine="632"/>
        <w:rPr>
          <w:rFonts w:hint="eastAsia" w:ascii="仿宋" w:hAnsi="仿宋" w:eastAsia="仿宋" w:cs="仿宋"/>
          <w:szCs w:val="32"/>
        </w:rPr>
      </w:pPr>
      <w:r>
        <w:rPr>
          <w:rFonts w:hint="eastAsia" w:ascii="仿宋" w:hAnsi="仿宋" w:eastAsia="仿宋" w:cs="仿宋"/>
          <w:szCs w:val="32"/>
        </w:rPr>
        <w:t>正阶魔方打乱前一般将白色面置于顶面，绿色面置于前面。其他魔方打乱可遵循以下原则：颜色最浅的面朝上，颜色次浅的面朝前。</w:t>
      </w:r>
    </w:p>
    <w:p w14:paraId="6057ACC3">
      <w:pPr>
        <w:ind w:firstLine="632"/>
        <w:rPr>
          <w:rFonts w:hint="eastAsia" w:ascii="仿宋" w:hAnsi="仿宋" w:eastAsia="仿宋" w:cs="仿宋"/>
          <w:szCs w:val="32"/>
        </w:rPr>
      </w:pPr>
      <w:r>
        <w:rPr>
          <w:rFonts w:hint="eastAsia" w:ascii="仿宋" w:hAnsi="仿宋" w:eastAsia="仿宋" w:cs="仿宋"/>
          <w:szCs w:val="32"/>
        </w:rPr>
        <w:t>金字塔魔方打乱前需将绿色面置于前面，黄色面置于底面。</w:t>
      </w:r>
    </w:p>
    <w:p w14:paraId="6057ACC4">
      <w:pPr>
        <w:ind w:firstLine="632"/>
        <w:rPr>
          <w:rFonts w:hint="eastAsia" w:ascii="仿宋" w:hAnsi="仿宋" w:eastAsia="仿宋" w:cs="仿宋"/>
          <w:szCs w:val="32"/>
        </w:rPr>
      </w:pPr>
      <w:r>
        <w:rPr>
          <w:rFonts w:hint="eastAsia" w:ascii="仿宋" w:hAnsi="仿宋" w:eastAsia="仿宋" w:cs="仿宋"/>
          <w:szCs w:val="32"/>
        </w:rPr>
        <w:t>在每轮比赛中，同一组的参赛运动员必须还原采用同样步骤打乱的魔方。</w:t>
      </w:r>
    </w:p>
    <w:p w14:paraId="6057ACC5">
      <w:pPr>
        <w:ind w:firstLine="632"/>
        <w:rPr>
          <w:rFonts w:hint="eastAsia" w:ascii="仿宋" w:hAnsi="仿宋" w:eastAsia="仿宋" w:cs="仿宋"/>
          <w:szCs w:val="32"/>
        </w:rPr>
      </w:pPr>
      <w:r>
        <w:rPr>
          <w:rFonts w:hint="eastAsia" w:ascii="仿宋" w:hAnsi="仿宋" w:eastAsia="仿宋" w:cs="仿宋"/>
          <w:szCs w:val="32"/>
        </w:rPr>
        <w:t>打乱裁判应仔细复核打乱的魔方，确保没有打乱错误。</w:t>
      </w:r>
    </w:p>
    <w:p w14:paraId="6057ACC6">
      <w:pPr>
        <w:ind w:firstLine="632"/>
        <w:rPr>
          <w:rFonts w:hint="eastAsia" w:ascii="仿宋" w:hAnsi="仿宋" w:eastAsia="仿宋" w:cs="仿宋"/>
          <w:szCs w:val="32"/>
        </w:rPr>
      </w:pPr>
      <w:r>
        <w:rPr>
          <w:rFonts w:hint="eastAsia" w:ascii="仿宋" w:hAnsi="仿宋" w:eastAsia="仿宋" w:cs="仿宋"/>
          <w:szCs w:val="32"/>
        </w:rPr>
        <w:t>非盲拧项目的观察时间上限为15秒，同一项目同一轮次的参赛运动员需在发令语音或发令裁判的指挥下同时启动计时器开始比赛。除非比赛组委会在竞赛规程中事先申明可在15秒观察时间内自由开始，否则所有比赛都应该遵循本条规则。</w:t>
      </w:r>
    </w:p>
    <w:p w14:paraId="6057ACC7">
      <w:pPr>
        <w:ind w:firstLine="632"/>
        <w:rPr>
          <w:rFonts w:hint="eastAsia" w:ascii="仿宋" w:hAnsi="仿宋" w:eastAsia="仿宋" w:cs="仿宋"/>
          <w:szCs w:val="32"/>
        </w:rPr>
      </w:pPr>
      <w:r>
        <w:rPr>
          <w:rFonts w:hint="eastAsia" w:ascii="仿宋" w:hAnsi="仿宋" w:eastAsia="仿宋" w:cs="仿宋"/>
          <w:szCs w:val="32"/>
        </w:rPr>
        <w:t>盲拧项目无观察时间，最终成绩包含起表后的观察时间。</w:t>
      </w:r>
    </w:p>
    <w:p w14:paraId="6057ACC8">
      <w:pPr>
        <w:ind w:firstLine="632"/>
        <w:rPr>
          <w:rFonts w:hint="eastAsia" w:ascii="仿宋" w:hAnsi="仿宋" w:eastAsia="仿宋" w:cs="仿宋"/>
          <w:szCs w:val="32"/>
        </w:rPr>
      </w:pPr>
      <w:r>
        <w:rPr>
          <w:rFonts w:hint="eastAsia" w:ascii="仿宋" w:hAnsi="仿宋" w:eastAsia="仿宋" w:cs="仿宋"/>
          <w:szCs w:val="32"/>
        </w:rPr>
        <w:t>计时规则：参赛运动员在起表时，双手与魔方必须位于起表线的两侧，不得越线或压线。当参赛运动员在比赛中第一次出现起表或拍表动作不规范时，裁判员可以对该运动员进行口头警告并取消当次比赛成绩；第二次出现起表或拍表动作不规范时，裁判员在请示裁判长后裁判长对该运动员进行黄牌警告并取消当次比赛成绩；若该运动员同一场比赛中累计三次出现不规范动作，裁判员在请示裁判长后裁判长可出示红牌将该运动员罚下赛场。</w:t>
      </w:r>
    </w:p>
    <w:p w14:paraId="6057ACC9">
      <w:pPr>
        <w:ind w:firstLine="632"/>
        <w:rPr>
          <w:rFonts w:hint="eastAsia" w:ascii="仿宋" w:hAnsi="仿宋" w:eastAsia="仿宋" w:cs="仿宋"/>
          <w:szCs w:val="32"/>
        </w:rPr>
      </w:pPr>
      <w:r>
        <w:rPr>
          <w:rFonts w:hint="eastAsia" w:ascii="仿宋" w:hAnsi="仿宋" w:eastAsia="仿宋" w:cs="仿宋"/>
          <w:szCs w:val="32"/>
        </w:rPr>
        <w:t>在运动员和裁判员未确认成绩之前，除裁判长外任何人不可以触碰魔方。</w:t>
      </w:r>
    </w:p>
    <w:p w14:paraId="6057ACCA">
      <w:pPr>
        <w:ind w:firstLine="632"/>
        <w:rPr>
          <w:rFonts w:hint="eastAsia" w:ascii="仿宋" w:hAnsi="仿宋" w:eastAsia="仿宋" w:cs="仿宋"/>
          <w:szCs w:val="32"/>
        </w:rPr>
      </w:pPr>
      <w:r>
        <w:rPr>
          <w:rFonts w:hint="eastAsia" w:ascii="仿宋" w:hAnsi="仿宋" w:eastAsia="仿宋" w:cs="仿宋"/>
          <w:szCs w:val="32"/>
        </w:rPr>
        <w:t>在单项比赛决赛的四强赛（含）之后阶段，一名运动员在一轮比赛中仅可要求一次暂停，暂停应由参赛运动员或其教练、领队提出。</w:t>
      </w:r>
    </w:p>
    <w:p w14:paraId="6057ACCB">
      <w:pPr>
        <w:ind w:firstLine="632"/>
        <w:rPr>
          <w:rFonts w:hint="eastAsia" w:ascii="仿宋" w:hAnsi="仿宋" w:eastAsia="仿宋" w:cs="仿宋"/>
          <w:szCs w:val="32"/>
        </w:rPr>
      </w:pPr>
      <w:r>
        <w:rPr>
          <w:rFonts w:hint="eastAsia" w:ascii="仿宋" w:hAnsi="仿宋" w:eastAsia="仿宋" w:cs="仿宋"/>
          <w:szCs w:val="32"/>
        </w:rPr>
        <w:t>请求暂停只在未处于比赛状态时做出，应用双手做出T形表示，每次暂停不得超过一分钟。</w:t>
      </w:r>
    </w:p>
    <w:p w14:paraId="6057ACCC">
      <w:pPr>
        <w:pStyle w:val="2"/>
        <w:ind w:firstLine="632"/>
        <w:rPr>
          <w:rFonts w:hint="eastAsia" w:ascii="黑体" w:hAnsi="黑体" w:eastAsia="黑体" w:cs="黑体"/>
          <w:szCs w:val="32"/>
        </w:rPr>
      </w:pPr>
      <w:r>
        <w:rPr>
          <w:rFonts w:hint="eastAsia" w:ascii="黑体" w:hAnsi="黑体" w:eastAsia="黑体" w:cs="黑体"/>
          <w:szCs w:val="32"/>
        </w:rPr>
        <w:t>十五、编印成绩册</w:t>
      </w:r>
    </w:p>
    <w:p w14:paraId="6057ACCD">
      <w:pPr>
        <w:ind w:firstLine="632"/>
        <w:rPr>
          <w:rFonts w:hint="eastAsia" w:ascii="仿宋" w:hAnsi="仿宋" w:eastAsia="仿宋" w:cs="仿宋"/>
          <w:color w:val="FF0000"/>
          <w:szCs w:val="32"/>
        </w:rPr>
      </w:pPr>
      <w:r>
        <w:rPr>
          <w:rFonts w:hint="eastAsia" w:ascii="仿宋" w:hAnsi="仿宋" w:eastAsia="仿宋" w:cs="仿宋"/>
          <w:szCs w:val="32"/>
        </w:rPr>
        <w:t>由裁判长指定专人负责成绩册的编制，成绩册包括全部比赛成绩和竞赛录取的名次，以及受表彰的裁判员名单等。</w:t>
      </w:r>
      <w:r>
        <w:rPr>
          <w:rFonts w:hint="eastAsia" w:ascii="仿宋" w:hAnsi="仿宋" w:eastAsia="仿宋" w:cs="仿宋"/>
          <w:color w:val="FF0000"/>
          <w:szCs w:val="32"/>
        </w:rPr>
        <w:t xml:space="preserve"> </w:t>
      </w:r>
    </w:p>
    <w:p w14:paraId="6057ACCE">
      <w:pPr>
        <w:pStyle w:val="2"/>
        <w:ind w:firstLine="632"/>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十六、颁奖流程</w:t>
      </w:r>
    </w:p>
    <w:p w14:paraId="6057ACCF">
      <w:pPr>
        <w:pStyle w:val="35"/>
        <w:ind w:left="632" w:leftChars="200" w:firstLine="0" w:firstLineChars="0"/>
        <w:contextualSpacing w:val="0"/>
        <w:rPr>
          <w:rFonts w:hint="eastAsia" w:ascii="仿宋" w:hAnsi="仿宋" w:eastAsia="仿宋" w:cs="仿宋"/>
          <w:szCs w:val="32"/>
        </w:rPr>
      </w:pPr>
      <w:r>
        <w:rPr>
          <w:rFonts w:hint="eastAsia" w:ascii="仿宋" w:hAnsi="仿宋" w:eastAsia="仿宋" w:cs="仿宋"/>
          <w:szCs w:val="32"/>
        </w:rPr>
        <w:t>（一）颁奖组将颁奖物资准备到颁奖区域；</w:t>
      </w:r>
    </w:p>
    <w:p w14:paraId="6057ACD0">
      <w:pPr>
        <w:pStyle w:val="35"/>
        <w:ind w:left="632" w:leftChars="200" w:firstLine="0" w:firstLineChars="0"/>
        <w:contextualSpacing w:val="0"/>
        <w:rPr>
          <w:rFonts w:hint="eastAsia" w:ascii="仿宋" w:hAnsi="仿宋" w:eastAsia="仿宋" w:cs="仿宋"/>
          <w:szCs w:val="32"/>
        </w:rPr>
      </w:pPr>
      <w:r>
        <w:rPr>
          <w:rFonts w:hint="eastAsia" w:ascii="仿宋" w:hAnsi="仿宋" w:eastAsia="仿宋" w:cs="仿宋"/>
          <w:szCs w:val="32"/>
        </w:rPr>
        <w:t>（二）场控组将运动员集中到颁奖区域；</w:t>
      </w:r>
    </w:p>
    <w:p w14:paraId="6057ACD1">
      <w:pPr>
        <w:pStyle w:val="35"/>
        <w:ind w:left="632" w:leftChars="200" w:firstLine="0" w:firstLineChars="0"/>
        <w:contextualSpacing w:val="0"/>
        <w:rPr>
          <w:rFonts w:hint="eastAsia" w:ascii="仿宋" w:hAnsi="仿宋" w:eastAsia="仿宋" w:cs="仿宋"/>
          <w:szCs w:val="32"/>
        </w:rPr>
      </w:pPr>
      <w:r>
        <w:rPr>
          <w:rFonts w:hint="eastAsia" w:ascii="仿宋" w:hAnsi="仿宋" w:eastAsia="仿宋" w:cs="仿宋"/>
          <w:szCs w:val="32"/>
        </w:rPr>
        <w:t>（三）颁奖嘉宾带至颁奖区域；</w:t>
      </w:r>
    </w:p>
    <w:p w14:paraId="6057ACD2">
      <w:pPr>
        <w:pStyle w:val="35"/>
        <w:ind w:left="0" w:firstLine="632"/>
        <w:contextualSpacing w:val="0"/>
        <w:rPr>
          <w:rFonts w:hint="eastAsia" w:ascii="仿宋" w:hAnsi="仿宋" w:eastAsia="仿宋" w:cs="仿宋"/>
          <w:szCs w:val="32"/>
        </w:rPr>
      </w:pPr>
      <w:r>
        <w:rPr>
          <w:rFonts w:hint="eastAsia" w:ascii="仿宋" w:hAnsi="仿宋" w:eastAsia="仿宋" w:cs="仿宋"/>
          <w:szCs w:val="32"/>
        </w:rPr>
        <w:t>（四）准备好颁奖音乐，并由专人负责播放；</w:t>
      </w:r>
    </w:p>
    <w:p w14:paraId="6057ACD3">
      <w:pPr>
        <w:pStyle w:val="35"/>
        <w:ind w:left="632" w:leftChars="200" w:firstLine="0" w:firstLineChars="0"/>
        <w:contextualSpacing w:val="0"/>
        <w:rPr>
          <w:rFonts w:hint="eastAsia" w:ascii="仿宋" w:hAnsi="仿宋" w:eastAsia="仿宋" w:cs="仿宋"/>
          <w:szCs w:val="32"/>
        </w:rPr>
      </w:pPr>
      <w:r>
        <w:rPr>
          <w:rFonts w:hint="eastAsia" w:ascii="仿宋" w:hAnsi="仿宋" w:eastAsia="仿宋" w:cs="仿宋"/>
          <w:szCs w:val="32"/>
        </w:rPr>
        <w:t>（五）安排一名主持人主持颁奖仪式；</w:t>
      </w:r>
    </w:p>
    <w:p w14:paraId="6057ACD4">
      <w:pPr>
        <w:pStyle w:val="35"/>
        <w:ind w:left="632" w:leftChars="200" w:firstLine="0" w:firstLineChars="0"/>
        <w:contextualSpacing w:val="0"/>
        <w:rPr>
          <w:rFonts w:hint="eastAsia" w:ascii="仿宋" w:hAnsi="仿宋" w:eastAsia="仿宋" w:cs="仿宋"/>
          <w:szCs w:val="32"/>
        </w:rPr>
      </w:pPr>
      <w:r>
        <w:rPr>
          <w:rFonts w:hint="eastAsia" w:ascii="仿宋" w:hAnsi="仿宋" w:eastAsia="仿宋" w:cs="仿宋"/>
          <w:szCs w:val="32"/>
        </w:rPr>
        <w:t>（六）裁判长宣布比赛成绩；</w:t>
      </w:r>
    </w:p>
    <w:p w14:paraId="6057ACD5">
      <w:pPr>
        <w:pStyle w:val="35"/>
        <w:ind w:left="0" w:firstLine="632"/>
        <w:contextualSpacing w:val="0"/>
        <w:rPr>
          <w:rFonts w:hint="eastAsia" w:ascii="仿宋" w:hAnsi="仿宋" w:eastAsia="仿宋" w:cs="仿宋"/>
          <w:szCs w:val="32"/>
        </w:rPr>
      </w:pPr>
      <w:r>
        <w:rPr>
          <w:rFonts w:hint="eastAsia" w:ascii="仿宋" w:hAnsi="仿宋" w:eastAsia="仿宋" w:cs="仿宋"/>
          <w:szCs w:val="32"/>
        </w:rPr>
        <w:t>（七）摄影组和宣传组负责安排新闻记者采访和现场摄影保存资料；</w:t>
      </w:r>
    </w:p>
    <w:p w14:paraId="6057ACD6">
      <w:pPr>
        <w:pStyle w:val="35"/>
        <w:ind w:left="632" w:leftChars="200" w:firstLine="0" w:firstLineChars="0"/>
        <w:contextualSpacing w:val="0"/>
        <w:rPr>
          <w:rFonts w:hint="eastAsia" w:ascii="仿宋" w:hAnsi="仿宋" w:eastAsia="仿宋" w:cs="仿宋"/>
          <w:szCs w:val="32"/>
        </w:rPr>
      </w:pPr>
      <w:r>
        <w:rPr>
          <w:rFonts w:hint="eastAsia" w:ascii="仿宋" w:hAnsi="仿宋" w:eastAsia="仿宋" w:cs="仿宋"/>
          <w:szCs w:val="32"/>
        </w:rPr>
        <w:t>（八）颁奖仪式开始</w:t>
      </w:r>
    </w:p>
    <w:p w14:paraId="6057ACD7">
      <w:pPr>
        <w:ind w:firstLine="632"/>
        <w:rPr>
          <w:rFonts w:hint="eastAsia" w:ascii="仿宋" w:hAnsi="仿宋" w:eastAsia="仿宋" w:cs="仿宋"/>
          <w:szCs w:val="32"/>
        </w:rPr>
      </w:pPr>
      <w:r>
        <w:rPr>
          <w:rFonts w:hint="eastAsia" w:ascii="仿宋" w:hAnsi="仿宋" w:eastAsia="仿宋" w:cs="仿宋"/>
          <w:szCs w:val="32"/>
        </w:rPr>
        <w:t>（赛区准备四名志愿者赛前进行培训，其中一名志愿者负责引领获奖运动员入场，一名志愿者引领颁奖嘉宾入场，两名志愿者捧托盘。由颁奖和志愿者处负责志愿者的召集和颁奖仪式的培训，并与各项目负责人一起做好现场颁奖的组织）</w:t>
      </w:r>
    </w:p>
    <w:p w14:paraId="6057ACD8">
      <w:pPr>
        <w:pStyle w:val="2"/>
        <w:ind w:firstLine="632"/>
        <w:rPr>
          <w:rFonts w:hint="eastAsia" w:ascii="黑体" w:hAnsi="黑体" w:eastAsia="黑体" w:cs="黑体"/>
          <w:szCs w:val="32"/>
        </w:rPr>
      </w:pPr>
      <w:r>
        <w:rPr>
          <w:rFonts w:hint="eastAsia" w:ascii="黑体" w:hAnsi="黑体" w:eastAsia="黑体" w:cs="黑体"/>
          <w:szCs w:val="32"/>
        </w:rPr>
        <w:t>十七、收集比赛资料并存档</w:t>
      </w:r>
    </w:p>
    <w:p w14:paraId="6057ACD9">
      <w:pPr>
        <w:ind w:firstLine="632"/>
        <w:rPr>
          <w:rFonts w:hint="eastAsia" w:ascii="仿宋" w:hAnsi="仿宋" w:eastAsia="仿宋" w:cs="仿宋"/>
          <w:szCs w:val="32"/>
        </w:rPr>
      </w:pPr>
      <w:r>
        <w:rPr>
          <w:rFonts w:hint="eastAsia" w:ascii="仿宋" w:hAnsi="仿宋" w:eastAsia="仿宋" w:cs="仿宋"/>
          <w:szCs w:val="32"/>
        </w:rPr>
        <w:t>主要资料包括秩序册和成绩册、竞赛及裁判员工作总结、满意度调查、比赛系列方案、签到表以及比赛照片、通讯录等。原始成绩记录单应当做好封存工作，确保比赛数据传输至比赛系统，待本次比赛全部流程彻底结束后再做文件处理。</w:t>
      </w:r>
    </w:p>
    <w:p w14:paraId="6057ACDA">
      <w:pPr>
        <w:pStyle w:val="2"/>
        <w:ind w:firstLine="632"/>
        <w:rPr>
          <w:rFonts w:hint="eastAsia" w:ascii="黑体" w:hAnsi="黑体" w:eastAsia="黑体" w:cs="黑体"/>
          <w:szCs w:val="32"/>
        </w:rPr>
      </w:pPr>
      <w:r>
        <w:rPr>
          <w:rFonts w:hint="eastAsia" w:ascii="黑体" w:hAnsi="黑体" w:eastAsia="黑体" w:cs="黑体"/>
          <w:szCs w:val="32"/>
        </w:rPr>
        <w:t>十八、赛后总结</w:t>
      </w:r>
    </w:p>
    <w:p w14:paraId="6057ACDB">
      <w:pPr>
        <w:pStyle w:val="3"/>
        <w:adjustRightInd/>
        <w:snapToGrid/>
        <w:ind w:firstLine="632"/>
        <w:rPr>
          <w:rFonts w:hint="eastAsia" w:ascii="仿宋" w:hAnsi="仿宋" w:eastAsia="仿宋" w:cs="仿宋"/>
        </w:rPr>
      </w:pPr>
      <w:r>
        <w:rPr>
          <w:rFonts w:hint="eastAsia" w:ascii="仿宋" w:hAnsi="仿宋" w:eastAsia="仿宋" w:cs="仿宋"/>
        </w:rPr>
        <w:t>（一）工作总结</w:t>
      </w:r>
    </w:p>
    <w:p w14:paraId="6057ACDC">
      <w:pPr>
        <w:ind w:firstLine="634"/>
        <w:rPr>
          <w:rFonts w:hint="eastAsia" w:ascii="仿宋" w:hAnsi="仿宋" w:eastAsia="仿宋" w:cs="仿宋"/>
          <w:szCs w:val="32"/>
        </w:rPr>
      </w:pPr>
      <w:r>
        <w:rPr>
          <w:rFonts w:hint="eastAsia" w:ascii="仿宋" w:hAnsi="仿宋" w:eastAsia="仿宋" w:cs="仿宋"/>
          <w:b/>
          <w:bCs/>
          <w:szCs w:val="32"/>
        </w:rPr>
        <w:t>组织总结：</w:t>
      </w:r>
      <w:r>
        <w:rPr>
          <w:rFonts w:hint="eastAsia" w:ascii="仿宋" w:hAnsi="仿宋" w:eastAsia="仿宋" w:cs="仿宋"/>
          <w:szCs w:val="32"/>
        </w:rPr>
        <w:t>组委会要总结竞赛、裁判员工作的得失，在此基础上写好总结材料，总结材料内容应包括比赛的组织和实施概况、取得的社会效益、经验和不足。</w:t>
      </w:r>
    </w:p>
    <w:p w14:paraId="6057ACDD">
      <w:pPr>
        <w:ind w:firstLine="634"/>
        <w:rPr>
          <w:rFonts w:hint="eastAsia" w:ascii="仿宋" w:hAnsi="仿宋" w:eastAsia="仿宋" w:cs="仿宋"/>
          <w:szCs w:val="32"/>
        </w:rPr>
      </w:pPr>
      <w:r>
        <w:rPr>
          <w:rFonts w:hint="eastAsia" w:ascii="仿宋" w:hAnsi="仿宋" w:eastAsia="仿宋" w:cs="仿宋"/>
          <w:b/>
          <w:bCs/>
          <w:szCs w:val="32"/>
        </w:rPr>
        <w:t>裁判长总结：</w:t>
      </w:r>
      <w:r>
        <w:rPr>
          <w:rFonts w:hint="eastAsia" w:ascii="仿宋" w:hAnsi="仿宋" w:eastAsia="仿宋" w:cs="仿宋"/>
          <w:szCs w:val="32"/>
        </w:rPr>
        <w:t>裁判长应总结本次比赛裁判员的工作情况，并提交体育总局社体中心。</w:t>
      </w:r>
    </w:p>
    <w:p w14:paraId="6057ACDE">
      <w:pPr>
        <w:pStyle w:val="3"/>
        <w:adjustRightInd/>
        <w:snapToGrid/>
        <w:ind w:firstLine="632"/>
        <w:rPr>
          <w:rFonts w:hint="eastAsia" w:ascii="仿宋" w:hAnsi="仿宋" w:eastAsia="仿宋" w:cs="仿宋"/>
        </w:rPr>
      </w:pPr>
      <w:r>
        <w:rPr>
          <w:rFonts w:hint="eastAsia" w:ascii="仿宋" w:hAnsi="仿宋" w:eastAsia="仿宋" w:cs="仿宋"/>
        </w:rPr>
        <w:t>（二）财务结算</w:t>
      </w:r>
    </w:p>
    <w:p w14:paraId="6057ACDF">
      <w:pPr>
        <w:ind w:firstLine="634"/>
        <w:rPr>
          <w:rFonts w:hint="eastAsia" w:ascii="仿宋" w:hAnsi="仿宋" w:eastAsia="仿宋" w:cs="仿宋"/>
          <w:szCs w:val="32"/>
        </w:rPr>
      </w:pPr>
      <w:r>
        <w:rPr>
          <w:rFonts w:hint="eastAsia" w:ascii="仿宋" w:hAnsi="仿宋" w:eastAsia="仿宋" w:cs="仿宋"/>
          <w:b/>
          <w:bCs/>
          <w:szCs w:val="32"/>
        </w:rPr>
        <w:t>物资回收：</w:t>
      </w:r>
      <w:r>
        <w:rPr>
          <w:rFonts w:hint="eastAsia" w:ascii="仿宋" w:hAnsi="仿宋" w:eastAsia="仿宋" w:cs="仿宋"/>
          <w:szCs w:val="32"/>
        </w:rPr>
        <w:t>比赛物资的回收整理。</w:t>
      </w:r>
    </w:p>
    <w:p w14:paraId="6057ACE0">
      <w:pPr>
        <w:ind w:firstLine="634"/>
        <w:rPr>
          <w:rFonts w:hint="eastAsia" w:ascii="仿宋" w:hAnsi="仿宋" w:eastAsia="仿宋" w:cs="仿宋"/>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19" w:bottom="1984" w:left="1519" w:header="851" w:footer="992" w:gutter="0"/>
          <w:cols w:space="425" w:num="1"/>
          <w:docGrid w:type="linesAndChars" w:linePitch="579" w:charSpace="-849"/>
        </w:sectPr>
      </w:pPr>
      <w:r>
        <w:rPr>
          <w:rFonts w:hint="eastAsia" w:ascii="仿宋" w:hAnsi="仿宋" w:eastAsia="仿宋" w:cs="仿宋"/>
          <w:b/>
          <w:bCs/>
          <w:szCs w:val="32"/>
        </w:rPr>
        <w:t>财务决算：</w:t>
      </w:r>
      <w:r>
        <w:rPr>
          <w:rFonts w:hint="eastAsia" w:ascii="仿宋" w:hAnsi="仿宋" w:eastAsia="仿宋" w:cs="仿宋"/>
          <w:szCs w:val="32"/>
        </w:rPr>
        <w:t>对比赛的收支情况进行财务结算，形成比赛费用决算。有关收支凭证齐全并符合财务规定。</w:t>
      </w:r>
    </w:p>
    <w:p w14:paraId="6057ACE1">
      <w:pPr>
        <w:pStyle w:val="2"/>
        <w:ind w:firstLine="0" w:firstLineChars="0"/>
      </w:pPr>
      <w:r>
        <w:rPr>
          <w:rFonts w:hint="eastAsia"/>
        </w:rPr>
        <w:t>附件1</w:t>
      </w:r>
    </w:p>
    <w:p w14:paraId="6057ACE2">
      <w:pPr>
        <w:ind w:firstLine="0" w:firstLineChars="0"/>
        <w:jc w:val="center"/>
      </w:pPr>
      <w:r>
        <w:rPr>
          <w:rFonts w:hint="eastAsia"/>
        </w:rPr>
        <w:t>实地考察内容明细表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0482"/>
      </w:tblGrid>
      <w:tr w14:paraId="6057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6057ACE3">
            <w:pPr>
              <w:ind w:firstLine="0" w:firstLineChars="0"/>
              <w:jc w:val="center"/>
              <w:rPr>
                <w:rFonts w:ascii="方正楷体_GBK" w:eastAsia="方正楷体_GBK"/>
                <w:sz w:val="24"/>
              </w:rPr>
            </w:pPr>
            <w:r>
              <w:rPr>
                <w:rFonts w:hint="eastAsia" w:ascii="方正楷体_GBK" w:eastAsia="方正楷体_GBK"/>
                <w:sz w:val="24"/>
              </w:rPr>
              <w:t>基础设施</w:t>
            </w:r>
          </w:p>
        </w:tc>
        <w:tc>
          <w:tcPr>
            <w:tcW w:w="10482" w:type="dxa"/>
          </w:tcPr>
          <w:p w14:paraId="6057ACE4">
            <w:pPr>
              <w:snapToGrid w:val="0"/>
              <w:ind w:firstLine="0" w:firstLineChars="0"/>
              <w:jc w:val="left"/>
              <w:rPr>
                <w:rFonts w:ascii="方正书宋_GBK" w:eastAsia="方正书宋_GBK"/>
                <w:sz w:val="22"/>
                <w:szCs w:val="22"/>
              </w:rPr>
            </w:pPr>
            <w:r>
              <w:rPr>
                <w:rFonts w:hint="eastAsia" w:ascii="方正书宋_GBK" w:eastAsia="方正书宋_GBK"/>
                <w:sz w:val="22"/>
                <w:szCs w:val="22"/>
              </w:rPr>
              <w:t>1. 确认场地是否足够容纳预计的运动员、观众、工作人员及设备</w:t>
            </w:r>
          </w:p>
          <w:p w14:paraId="6057ACE5">
            <w:pPr>
              <w:snapToGrid w:val="0"/>
              <w:ind w:firstLine="0" w:firstLineChars="0"/>
              <w:jc w:val="left"/>
              <w:rPr>
                <w:rFonts w:ascii="方正书宋_GBK" w:eastAsia="方正书宋_GBK"/>
                <w:sz w:val="22"/>
                <w:szCs w:val="22"/>
              </w:rPr>
            </w:pPr>
            <w:r>
              <w:rPr>
                <w:rFonts w:hint="eastAsia" w:ascii="方正书宋_GBK" w:eastAsia="方正书宋_GBK"/>
                <w:sz w:val="22"/>
                <w:szCs w:val="22"/>
              </w:rPr>
              <w:t>2. 检查是否有充足的电源插座，满足比赛设备、照明、音响等需求</w:t>
            </w:r>
          </w:p>
          <w:p w14:paraId="6057ACE6">
            <w:pPr>
              <w:snapToGrid w:val="0"/>
              <w:ind w:firstLine="0" w:firstLineChars="0"/>
              <w:jc w:val="left"/>
              <w:rPr>
                <w:rFonts w:ascii="方正书宋_GBK" w:eastAsia="方正书宋_GBK"/>
                <w:sz w:val="22"/>
                <w:szCs w:val="22"/>
              </w:rPr>
            </w:pPr>
            <w:r>
              <w:rPr>
                <w:rFonts w:hint="eastAsia" w:ascii="方正书宋_GBK" w:eastAsia="方正书宋_GBK"/>
                <w:sz w:val="22"/>
                <w:szCs w:val="22"/>
              </w:rPr>
              <w:t>3. 评估无线网络或有线网络的可用性和稳定性，确保直播或在线评分系统的正常运行。</w:t>
            </w:r>
          </w:p>
          <w:p w14:paraId="6057ACE7">
            <w:pPr>
              <w:snapToGrid w:val="0"/>
              <w:ind w:firstLine="0" w:firstLineChars="0"/>
              <w:jc w:val="left"/>
              <w:rPr>
                <w:rFonts w:ascii="方正书宋_GBK" w:eastAsia="方正书宋_GBK"/>
                <w:sz w:val="22"/>
                <w:szCs w:val="22"/>
              </w:rPr>
            </w:pPr>
            <w:r>
              <w:rPr>
                <w:rFonts w:hint="eastAsia" w:ascii="方正书宋_GBK" w:eastAsia="方正书宋_GBK"/>
                <w:sz w:val="22"/>
                <w:szCs w:val="22"/>
              </w:rPr>
              <w:t>4. 确认洗手间数量是否足够，位置是否便于参赛者和观众使用。</w:t>
            </w:r>
          </w:p>
          <w:p w14:paraId="6057ACE8">
            <w:pPr>
              <w:snapToGrid w:val="0"/>
              <w:ind w:firstLine="0" w:firstLineChars="0"/>
              <w:jc w:val="left"/>
              <w:rPr>
                <w:rFonts w:ascii="方正书宋_GBK" w:eastAsia="方正书宋_GBK"/>
                <w:sz w:val="22"/>
                <w:szCs w:val="22"/>
              </w:rPr>
            </w:pPr>
            <w:r>
              <w:rPr>
                <w:rFonts w:hint="eastAsia" w:ascii="方正书宋_GBK" w:eastAsia="方正书宋_GBK"/>
                <w:sz w:val="22"/>
                <w:szCs w:val="22"/>
              </w:rPr>
              <w:t>5. 调查场地附近是否有合适的餐饮服务，或考虑在场地内提供餐饮选项。</w:t>
            </w:r>
          </w:p>
          <w:p w14:paraId="6057ACE9">
            <w:pPr>
              <w:snapToGrid w:val="0"/>
              <w:ind w:firstLine="0" w:firstLineChars="0"/>
              <w:jc w:val="left"/>
              <w:rPr>
                <w:rFonts w:ascii="方正书宋_GBK" w:eastAsia="方正书宋_GBK"/>
                <w:sz w:val="22"/>
                <w:szCs w:val="22"/>
              </w:rPr>
            </w:pPr>
            <w:r>
              <w:rPr>
                <w:rFonts w:hint="eastAsia" w:ascii="方正书宋_GBK" w:eastAsia="方正书宋_GBK"/>
                <w:sz w:val="22"/>
                <w:szCs w:val="22"/>
              </w:rPr>
              <w:t>6. 考察场地附近的公共交通站点，确保参赛者和观众能够方便到达。</w:t>
            </w:r>
          </w:p>
          <w:p w14:paraId="6057ACEA">
            <w:pPr>
              <w:snapToGrid w:val="0"/>
              <w:ind w:firstLine="0" w:firstLineChars="0"/>
              <w:jc w:val="left"/>
              <w:rPr>
                <w:rFonts w:ascii="方正书宋_GBK" w:eastAsia="方正书宋_GBK"/>
                <w:sz w:val="22"/>
                <w:szCs w:val="22"/>
              </w:rPr>
            </w:pPr>
            <w:r>
              <w:rPr>
                <w:rFonts w:hint="eastAsia" w:ascii="方正书宋_GBK" w:eastAsia="方正书宋_GBK"/>
                <w:sz w:val="22"/>
                <w:szCs w:val="22"/>
              </w:rPr>
              <w:t>7. 场地比赛用水及食物补给。</w:t>
            </w:r>
          </w:p>
          <w:p w14:paraId="6057ACEB">
            <w:pPr>
              <w:snapToGrid w:val="0"/>
              <w:ind w:firstLine="0" w:firstLineChars="0"/>
              <w:jc w:val="left"/>
              <w:rPr>
                <w:rFonts w:ascii="方正书宋_GBK" w:eastAsia="方正书宋_GBK"/>
                <w:sz w:val="22"/>
                <w:szCs w:val="22"/>
              </w:rPr>
            </w:pPr>
            <w:r>
              <w:rPr>
                <w:rFonts w:hint="eastAsia" w:ascii="方正书宋_GBK" w:eastAsia="方正书宋_GBK"/>
                <w:sz w:val="22"/>
                <w:szCs w:val="22"/>
              </w:rPr>
              <w:t>8. 确认场地是否适合行动不便的参赛者和观众使用。</w:t>
            </w:r>
          </w:p>
          <w:p w14:paraId="6057ACEC">
            <w:pPr>
              <w:snapToGrid w:val="0"/>
              <w:ind w:firstLine="0" w:firstLineChars="0"/>
              <w:jc w:val="left"/>
              <w:rPr>
                <w:rFonts w:ascii="方正书宋_GBK" w:eastAsia="方正书宋_GBK"/>
                <w:sz w:val="22"/>
                <w:szCs w:val="22"/>
              </w:rPr>
            </w:pPr>
            <w:r>
              <w:rPr>
                <w:rFonts w:hint="eastAsia" w:ascii="方正书宋_GBK" w:eastAsia="方正书宋_GBK"/>
                <w:sz w:val="22"/>
                <w:szCs w:val="22"/>
              </w:rPr>
              <w:t>9. 考察场地内外是否有适合放置广告牌或横幅的位置。</w:t>
            </w:r>
          </w:p>
        </w:tc>
      </w:tr>
      <w:tr w14:paraId="6057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6057ACEE">
            <w:pPr>
              <w:ind w:firstLine="0" w:firstLineChars="0"/>
              <w:jc w:val="center"/>
              <w:rPr>
                <w:rFonts w:ascii="方正楷体_GBK" w:eastAsia="方正楷体_GBK"/>
                <w:sz w:val="24"/>
              </w:rPr>
            </w:pPr>
            <w:r>
              <w:rPr>
                <w:rFonts w:hint="eastAsia" w:ascii="方正楷体_GBK" w:eastAsia="方正楷体_GBK"/>
                <w:sz w:val="24"/>
              </w:rPr>
              <w:t>安全与健康</w:t>
            </w:r>
          </w:p>
        </w:tc>
        <w:tc>
          <w:tcPr>
            <w:tcW w:w="10482" w:type="dxa"/>
          </w:tcPr>
          <w:p w14:paraId="6057ACEF">
            <w:pPr>
              <w:snapToGrid w:val="0"/>
              <w:ind w:firstLine="0" w:firstLineChars="0"/>
              <w:jc w:val="left"/>
              <w:rPr>
                <w:rFonts w:ascii="方正书宋_GBK" w:eastAsia="方正书宋_GBK"/>
                <w:sz w:val="22"/>
                <w:szCs w:val="22"/>
              </w:rPr>
            </w:pPr>
            <w:r>
              <w:rPr>
                <w:rFonts w:hint="eastAsia" w:ascii="方正书宋_GBK" w:eastAsia="方正书宋_GBK"/>
                <w:sz w:val="22"/>
                <w:szCs w:val="22"/>
              </w:rPr>
              <w:t>1. 确保场地有足够的紧急出口，并保持畅通。</w:t>
            </w:r>
          </w:p>
          <w:p w14:paraId="6057ACF0">
            <w:pPr>
              <w:snapToGrid w:val="0"/>
              <w:ind w:firstLine="0" w:firstLineChars="0"/>
              <w:jc w:val="left"/>
              <w:rPr>
                <w:rFonts w:ascii="方正书宋_GBK" w:eastAsia="方正书宋_GBK"/>
                <w:sz w:val="22"/>
                <w:szCs w:val="22"/>
              </w:rPr>
            </w:pPr>
            <w:r>
              <w:rPr>
                <w:rFonts w:hint="eastAsia" w:ascii="方正书宋_GBK" w:eastAsia="方正书宋_GBK"/>
                <w:sz w:val="22"/>
                <w:szCs w:val="22"/>
              </w:rPr>
              <w:t>2. 了解附近医院的位置，必要时可考虑在场地内设置急救站</w:t>
            </w:r>
          </w:p>
          <w:p w14:paraId="6057ACF1">
            <w:pPr>
              <w:snapToGrid w:val="0"/>
              <w:ind w:firstLine="0" w:firstLineChars="0"/>
              <w:jc w:val="left"/>
              <w:rPr>
                <w:rFonts w:ascii="方正书宋_GBK" w:eastAsia="方正书宋_GBK"/>
                <w:sz w:val="22"/>
                <w:szCs w:val="22"/>
              </w:rPr>
            </w:pPr>
            <w:r>
              <w:rPr>
                <w:rFonts w:hint="eastAsia" w:ascii="方正书宋_GBK" w:eastAsia="方正书宋_GBK"/>
                <w:sz w:val="22"/>
                <w:szCs w:val="22"/>
              </w:rPr>
              <w:t>3. 检查场地的安全设施，如监控摄像头、消防设施等。</w:t>
            </w:r>
          </w:p>
          <w:p w14:paraId="6057ACF2">
            <w:pPr>
              <w:snapToGrid w:val="0"/>
              <w:ind w:firstLine="0" w:firstLineChars="0"/>
              <w:jc w:val="left"/>
              <w:rPr>
                <w:rFonts w:ascii="方正书宋_GBK" w:eastAsia="方正书宋_GBK"/>
                <w:sz w:val="22"/>
                <w:szCs w:val="22"/>
              </w:rPr>
            </w:pPr>
            <w:r>
              <w:rPr>
                <w:rFonts w:hint="eastAsia" w:ascii="方正书宋_GBK" w:eastAsia="方正书宋_GBK"/>
                <w:sz w:val="22"/>
                <w:szCs w:val="22"/>
              </w:rPr>
              <w:t>4. 确认比赛前后是否有专业的清洁服务。</w:t>
            </w:r>
          </w:p>
          <w:p w14:paraId="6057ACF3">
            <w:pPr>
              <w:snapToGrid w:val="0"/>
              <w:ind w:firstLine="0" w:firstLineChars="0"/>
              <w:jc w:val="left"/>
              <w:rPr>
                <w:rFonts w:ascii="方正书宋_GBK" w:eastAsia="方正书宋_GBK"/>
                <w:sz w:val="22"/>
                <w:szCs w:val="22"/>
              </w:rPr>
            </w:pPr>
            <w:r>
              <w:rPr>
                <w:rFonts w:hint="eastAsia" w:ascii="方正书宋_GBK" w:eastAsia="方正书宋_GBK"/>
                <w:sz w:val="22"/>
                <w:szCs w:val="22"/>
              </w:rPr>
              <w:t>5. 寻找合适的物资存放地点，确保比赛物资的安全。</w:t>
            </w:r>
          </w:p>
        </w:tc>
      </w:tr>
      <w:tr w14:paraId="6057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6057ACF5">
            <w:pPr>
              <w:ind w:firstLine="0" w:firstLineChars="0"/>
              <w:jc w:val="center"/>
              <w:rPr>
                <w:rFonts w:ascii="方正楷体_GBK" w:eastAsia="方正楷体_GBK"/>
                <w:sz w:val="24"/>
              </w:rPr>
            </w:pPr>
            <w:r>
              <w:rPr>
                <w:rFonts w:hint="eastAsia" w:ascii="方正楷体_GBK" w:eastAsia="方正楷体_GBK"/>
                <w:sz w:val="24"/>
              </w:rPr>
              <w:t>比赛设施</w:t>
            </w:r>
          </w:p>
        </w:tc>
        <w:tc>
          <w:tcPr>
            <w:tcW w:w="10482" w:type="dxa"/>
          </w:tcPr>
          <w:p w14:paraId="6057ACF6">
            <w:pPr>
              <w:snapToGrid w:val="0"/>
              <w:ind w:firstLine="0" w:firstLineChars="0"/>
              <w:jc w:val="left"/>
              <w:rPr>
                <w:rFonts w:ascii="方正书宋_GBK" w:eastAsia="方正书宋_GBK"/>
                <w:sz w:val="22"/>
                <w:szCs w:val="22"/>
              </w:rPr>
            </w:pPr>
            <w:r>
              <w:rPr>
                <w:rFonts w:hint="eastAsia" w:ascii="方正书宋_GBK" w:eastAsia="方正书宋_GBK"/>
                <w:sz w:val="22"/>
                <w:szCs w:val="22"/>
              </w:rPr>
              <w:t>1. 合理规划比赛区、等待区、休息区等区域，保证比赛流程顺畅。</w:t>
            </w:r>
          </w:p>
          <w:p w14:paraId="6057ACF7">
            <w:pPr>
              <w:snapToGrid w:val="0"/>
              <w:ind w:firstLine="0" w:firstLineChars="0"/>
              <w:jc w:val="left"/>
              <w:rPr>
                <w:rFonts w:ascii="方正书宋_GBK" w:eastAsia="方正书宋_GBK"/>
                <w:sz w:val="22"/>
                <w:szCs w:val="22"/>
              </w:rPr>
            </w:pPr>
            <w:r>
              <w:rPr>
                <w:rFonts w:hint="eastAsia" w:ascii="方正书宋_GBK" w:eastAsia="方正书宋_GBK"/>
                <w:sz w:val="22"/>
                <w:szCs w:val="22"/>
              </w:rPr>
              <w:t>2. 为裁判提供足够的工作空间，包括桌子、椅子、笔记本电脑等。</w:t>
            </w:r>
          </w:p>
          <w:p w14:paraId="6057ACF8">
            <w:pPr>
              <w:snapToGrid w:val="0"/>
              <w:ind w:firstLine="0" w:firstLineChars="0"/>
              <w:jc w:val="left"/>
              <w:rPr>
                <w:rFonts w:ascii="方正书宋_GBK" w:eastAsia="方正书宋_GBK"/>
                <w:sz w:val="22"/>
                <w:szCs w:val="22"/>
              </w:rPr>
            </w:pPr>
            <w:r>
              <w:rPr>
                <w:rFonts w:hint="eastAsia" w:ascii="方正书宋_GBK" w:eastAsia="方正书宋_GBK"/>
                <w:sz w:val="22"/>
                <w:szCs w:val="22"/>
              </w:rPr>
              <w:t>3. 检查是否已有现成的计时系统，或需额外租赁。</w:t>
            </w:r>
          </w:p>
          <w:p w14:paraId="6057ACF9">
            <w:pPr>
              <w:snapToGrid w:val="0"/>
              <w:ind w:firstLine="0" w:firstLineChars="0"/>
              <w:jc w:val="left"/>
              <w:rPr>
                <w:rFonts w:ascii="方正书宋_GBK" w:eastAsia="方正书宋_GBK"/>
                <w:sz w:val="22"/>
                <w:szCs w:val="22"/>
              </w:rPr>
            </w:pPr>
            <w:r>
              <w:rPr>
                <w:rFonts w:hint="eastAsia" w:ascii="方正书宋_GBK" w:eastAsia="方正书宋_GBK"/>
                <w:sz w:val="22"/>
                <w:szCs w:val="22"/>
              </w:rPr>
              <w:t>4. 设立专门的魔方打乱区域，保证比赛的公平性。</w:t>
            </w:r>
          </w:p>
          <w:p w14:paraId="6057ACFA">
            <w:pPr>
              <w:snapToGrid w:val="0"/>
              <w:ind w:firstLine="0" w:firstLineChars="0"/>
              <w:jc w:val="left"/>
              <w:rPr>
                <w:rFonts w:ascii="方正书宋_GBK" w:eastAsia="方正书宋_GBK"/>
                <w:sz w:val="22"/>
                <w:szCs w:val="22"/>
              </w:rPr>
            </w:pPr>
            <w:r>
              <w:rPr>
                <w:rFonts w:hint="eastAsia" w:ascii="方正书宋_GBK" w:eastAsia="方正书宋_GBK"/>
                <w:sz w:val="22"/>
                <w:szCs w:val="22"/>
              </w:rPr>
              <w:t>5. 设置成绩公示板，方便参赛者和观众查看比赛进展。</w:t>
            </w:r>
          </w:p>
          <w:p w14:paraId="6057ACFB">
            <w:pPr>
              <w:snapToGrid w:val="0"/>
              <w:ind w:firstLine="0" w:firstLineChars="0"/>
              <w:jc w:val="left"/>
              <w:rPr>
                <w:rFonts w:ascii="方正书宋_GBK" w:eastAsia="方正书宋_GBK"/>
                <w:sz w:val="22"/>
                <w:szCs w:val="22"/>
              </w:rPr>
            </w:pPr>
            <w:r>
              <w:rPr>
                <w:rFonts w:hint="eastAsia" w:ascii="方正书宋_GBK" w:eastAsia="方正书宋_GBK"/>
                <w:sz w:val="22"/>
                <w:szCs w:val="22"/>
              </w:rPr>
              <w:t>6. 设置志愿者工作站，为志愿者提供必要的支持和指导。</w:t>
            </w:r>
          </w:p>
        </w:tc>
      </w:tr>
      <w:tr w14:paraId="6057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6057ACFD">
            <w:pPr>
              <w:ind w:firstLine="0" w:firstLineChars="0"/>
              <w:jc w:val="center"/>
              <w:rPr>
                <w:rFonts w:ascii="方正楷体_GBK" w:eastAsia="方正楷体_GBK"/>
                <w:sz w:val="24"/>
              </w:rPr>
            </w:pPr>
            <w:r>
              <w:rPr>
                <w:rFonts w:hint="eastAsia" w:ascii="方正楷体_GBK" w:eastAsia="方正楷体_GBK"/>
                <w:sz w:val="24"/>
              </w:rPr>
              <w:t>其他因素</w:t>
            </w:r>
          </w:p>
        </w:tc>
        <w:tc>
          <w:tcPr>
            <w:tcW w:w="10482" w:type="dxa"/>
          </w:tcPr>
          <w:p w14:paraId="6057ACFE">
            <w:pPr>
              <w:snapToGrid w:val="0"/>
              <w:ind w:firstLine="0" w:firstLineChars="0"/>
              <w:jc w:val="left"/>
              <w:rPr>
                <w:rFonts w:ascii="方正书宋_GBK" w:eastAsia="方正书宋_GBK"/>
                <w:sz w:val="22"/>
                <w:szCs w:val="22"/>
              </w:rPr>
            </w:pPr>
            <w:r>
              <w:rPr>
                <w:rFonts w:hint="eastAsia" w:ascii="方正书宋_GBK" w:eastAsia="方正书宋_GBK"/>
                <w:sz w:val="22"/>
                <w:szCs w:val="22"/>
              </w:rPr>
              <w:t>1.如果是户外比赛，需要考虑天气变化的影响，并制定相应的应对措施</w:t>
            </w:r>
          </w:p>
          <w:p w14:paraId="6057ACFF">
            <w:pPr>
              <w:snapToGrid w:val="0"/>
              <w:ind w:firstLine="0" w:firstLineChars="0"/>
              <w:jc w:val="left"/>
              <w:rPr>
                <w:rFonts w:ascii="方正书宋_GBK" w:eastAsia="方正书宋_GBK"/>
                <w:sz w:val="22"/>
                <w:szCs w:val="22"/>
              </w:rPr>
            </w:pPr>
            <w:r>
              <w:rPr>
                <w:rFonts w:hint="eastAsia" w:ascii="方正书宋_GBK" w:eastAsia="方正书宋_GBK"/>
                <w:sz w:val="22"/>
                <w:szCs w:val="22"/>
              </w:rPr>
              <w:t>2. 确保比赛不会因噪音干扰到周边居民或机构。</w:t>
            </w:r>
          </w:p>
          <w:p w14:paraId="6057AD00">
            <w:pPr>
              <w:snapToGrid w:val="0"/>
              <w:ind w:firstLine="0" w:firstLineChars="0"/>
              <w:jc w:val="left"/>
              <w:rPr>
                <w:rFonts w:ascii="方正书宋_GBK" w:eastAsia="方正书宋_GBK"/>
                <w:sz w:val="22"/>
                <w:szCs w:val="22"/>
              </w:rPr>
            </w:pPr>
            <w:r>
              <w:rPr>
                <w:rFonts w:hint="eastAsia" w:ascii="方正书宋_GBK" w:eastAsia="方正书宋_GBK"/>
                <w:sz w:val="22"/>
                <w:szCs w:val="22"/>
              </w:rPr>
              <w:t>3. 如果比赛涉及合作伙伴，确保场地能够满足他们的需求和期望。</w:t>
            </w:r>
          </w:p>
        </w:tc>
      </w:tr>
    </w:tbl>
    <w:p w14:paraId="6057AD02">
      <w:pPr>
        <w:pStyle w:val="2"/>
        <w:ind w:firstLine="0" w:firstLineChars="0"/>
      </w:pPr>
      <w:r>
        <w:rPr>
          <w:rFonts w:hint="eastAsia"/>
        </w:rPr>
        <w:t>附件2</w:t>
      </w:r>
    </w:p>
    <w:p w14:paraId="6057AD03">
      <w:pPr>
        <w:ind w:firstLine="0" w:firstLineChars="0"/>
        <w:jc w:val="center"/>
      </w:pPr>
      <w:r>
        <w:rPr>
          <w:rFonts w:hint="eastAsia"/>
        </w:rPr>
        <w:t>准备工作明细表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9639"/>
      </w:tblGrid>
      <w:tr w14:paraId="6057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6057AD04">
            <w:pPr>
              <w:ind w:firstLine="0" w:firstLineChars="0"/>
              <w:jc w:val="center"/>
              <w:rPr>
                <w:rFonts w:ascii="方正书宋_GBK" w:eastAsia="方正书宋_GBK"/>
                <w:sz w:val="22"/>
                <w:szCs w:val="20"/>
              </w:rPr>
            </w:pPr>
            <w:r>
              <w:rPr>
                <w:rFonts w:hint="eastAsia"/>
                <w:sz w:val="22"/>
                <w:szCs w:val="20"/>
              </w:rPr>
              <w:t>前期策划（提前6个月至3个月）</w:t>
            </w:r>
          </w:p>
        </w:tc>
        <w:tc>
          <w:tcPr>
            <w:tcW w:w="9639" w:type="dxa"/>
          </w:tcPr>
          <w:p w14:paraId="6057AD05">
            <w:pPr>
              <w:snapToGrid w:val="0"/>
              <w:ind w:firstLine="0" w:firstLineChars="0"/>
              <w:jc w:val="left"/>
              <w:rPr>
                <w:rFonts w:ascii="方正书宋_GBK" w:eastAsia="方正书宋_GBK"/>
                <w:sz w:val="22"/>
                <w:szCs w:val="22"/>
              </w:rPr>
            </w:pPr>
            <w:r>
              <w:rPr>
                <w:rFonts w:hint="eastAsia" w:ascii="方正书宋_GBK" w:eastAsia="方正书宋_GBK"/>
                <w:sz w:val="22"/>
                <w:szCs w:val="22"/>
              </w:rPr>
              <w:t>1. 选择一个适合的日期，避免与其他大型活动冲突。</w:t>
            </w:r>
          </w:p>
          <w:p w14:paraId="6057AD06">
            <w:pPr>
              <w:snapToGrid w:val="0"/>
              <w:ind w:firstLine="0" w:firstLineChars="0"/>
              <w:jc w:val="left"/>
              <w:rPr>
                <w:rFonts w:ascii="方正书宋_GBK" w:eastAsia="方正书宋_GBK"/>
                <w:sz w:val="22"/>
                <w:szCs w:val="22"/>
              </w:rPr>
            </w:pPr>
            <w:r>
              <w:rPr>
                <w:rFonts w:hint="eastAsia" w:ascii="方正书宋_GBK" w:eastAsia="方正书宋_GBK"/>
                <w:sz w:val="22"/>
                <w:szCs w:val="22"/>
              </w:rPr>
              <w:t>2. 选定比赛场地，确保场地符合比赛要求。</w:t>
            </w:r>
          </w:p>
          <w:p w14:paraId="6057AD07">
            <w:pPr>
              <w:snapToGrid w:val="0"/>
              <w:ind w:firstLine="0" w:firstLineChars="0"/>
              <w:jc w:val="left"/>
              <w:rPr>
                <w:rFonts w:ascii="方正书宋_GBK" w:eastAsia="方正书宋_GBK"/>
                <w:sz w:val="22"/>
                <w:szCs w:val="22"/>
              </w:rPr>
            </w:pPr>
            <w:r>
              <w:rPr>
                <w:rFonts w:hint="eastAsia" w:ascii="方正书宋_GBK" w:eastAsia="方正书宋_GBK"/>
                <w:sz w:val="22"/>
                <w:szCs w:val="22"/>
              </w:rPr>
              <w:t>3. 组建一支负责不同任务的团队，包括比赛总监、裁判、志愿者协调员等。</w:t>
            </w:r>
          </w:p>
          <w:p w14:paraId="6057AD08">
            <w:pPr>
              <w:snapToGrid w:val="0"/>
              <w:ind w:firstLine="0" w:firstLineChars="0"/>
              <w:jc w:val="left"/>
              <w:rPr>
                <w:rFonts w:ascii="方正书宋_GBK" w:eastAsia="方正书宋_GBK"/>
                <w:sz w:val="22"/>
                <w:szCs w:val="22"/>
              </w:rPr>
            </w:pPr>
            <w:r>
              <w:rPr>
                <w:rFonts w:hint="eastAsia" w:ascii="方正书宋_GBK" w:eastAsia="方正书宋_GBK"/>
                <w:sz w:val="22"/>
                <w:szCs w:val="22"/>
              </w:rPr>
              <w:t>4. 列出所有预期开支，包括场地租金、设备租赁、奖品、宣传费用等。</w:t>
            </w:r>
          </w:p>
          <w:p w14:paraId="6057AD09">
            <w:pPr>
              <w:snapToGrid w:val="0"/>
              <w:ind w:firstLine="0" w:firstLineChars="0"/>
              <w:jc w:val="left"/>
              <w:rPr>
                <w:rFonts w:ascii="方正书宋_GBK" w:eastAsia="方正书宋_GBK"/>
                <w:sz w:val="22"/>
                <w:szCs w:val="22"/>
              </w:rPr>
            </w:pPr>
            <w:r>
              <w:rPr>
                <w:rFonts w:hint="eastAsia" w:ascii="方正书宋_GBK" w:eastAsia="方正书宋_GBK"/>
                <w:sz w:val="22"/>
                <w:szCs w:val="22"/>
              </w:rPr>
              <w:t>5. 寻找合作伙伴和赞助商，争取资金和技术支持。</w:t>
            </w:r>
          </w:p>
          <w:p w14:paraId="6057AD0A">
            <w:pPr>
              <w:snapToGrid w:val="0"/>
              <w:ind w:firstLine="0" w:firstLineChars="0"/>
              <w:jc w:val="left"/>
              <w:rPr>
                <w:rFonts w:ascii="方正书宋_GBK" w:eastAsia="方正书宋_GBK"/>
                <w:sz w:val="22"/>
                <w:szCs w:val="22"/>
              </w:rPr>
            </w:pPr>
            <w:r>
              <w:rPr>
                <w:rFonts w:hint="eastAsia" w:ascii="方正书宋_GBK" w:eastAsia="方正书宋_GBK"/>
                <w:sz w:val="22"/>
                <w:szCs w:val="22"/>
              </w:rPr>
              <w:t>6. 明确比赛项目、赛制、评分标准等。</w:t>
            </w:r>
          </w:p>
          <w:p w14:paraId="6057AD0B">
            <w:pPr>
              <w:snapToGrid w:val="0"/>
              <w:ind w:firstLine="0" w:firstLineChars="0"/>
              <w:jc w:val="left"/>
              <w:rPr>
                <w:rFonts w:ascii="方正书宋_GBK" w:eastAsia="方正书宋_GBK"/>
                <w:sz w:val="22"/>
                <w:szCs w:val="22"/>
              </w:rPr>
            </w:pPr>
            <w:r>
              <w:rPr>
                <w:rFonts w:hint="eastAsia" w:ascii="方正书宋_GBK" w:eastAsia="方正书宋_GBK"/>
                <w:sz w:val="22"/>
                <w:szCs w:val="22"/>
              </w:rPr>
              <w:t>7. 创建比赛的品牌形象，设计海报、传单、网站等宣传材料。</w:t>
            </w:r>
          </w:p>
          <w:p w14:paraId="6057AD0C">
            <w:pPr>
              <w:snapToGrid w:val="0"/>
              <w:ind w:firstLine="0" w:firstLineChars="0"/>
              <w:jc w:val="left"/>
              <w:rPr>
                <w:rFonts w:ascii="方正书宋_GBK" w:eastAsia="方正书宋_GBK"/>
                <w:sz w:val="22"/>
                <w:szCs w:val="22"/>
              </w:rPr>
            </w:pPr>
            <w:r>
              <w:rPr>
                <w:rFonts w:hint="eastAsia" w:ascii="方正书宋_GBK" w:eastAsia="方正书宋_GBK"/>
                <w:sz w:val="22"/>
                <w:szCs w:val="22"/>
              </w:rPr>
              <w:t>8. 酒店和交通用车考察与选择，根据规模安排，国际比赛选择涉外酒店，与相关单位签订服务合同；比赛期间，至少有1名联络员，负责信息的及时传达、接送站等各类服务。</w:t>
            </w:r>
          </w:p>
          <w:p w14:paraId="6057AD0D">
            <w:pPr>
              <w:snapToGrid w:val="0"/>
              <w:ind w:firstLine="0" w:firstLineChars="0"/>
              <w:jc w:val="left"/>
              <w:rPr>
                <w:rFonts w:ascii="方正书宋_GBK" w:eastAsia="方正书宋_GBK"/>
                <w:sz w:val="22"/>
                <w:szCs w:val="22"/>
              </w:rPr>
            </w:pPr>
            <w:r>
              <w:rPr>
                <w:rFonts w:hint="eastAsia" w:ascii="方正书宋_GBK" w:eastAsia="方正书宋_GBK"/>
                <w:sz w:val="22"/>
                <w:szCs w:val="22"/>
              </w:rPr>
              <w:t>9. 负责检查酒店餐饮场所及菜单菜品；负责酒店房间分配安排与落实。</w:t>
            </w:r>
          </w:p>
        </w:tc>
      </w:tr>
      <w:tr w14:paraId="6057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6057AD0F">
            <w:pPr>
              <w:ind w:firstLine="0" w:firstLineChars="0"/>
              <w:jc w:val="center"/>
              <w:rPr>
                <w:rFonts w:ascii="方正书宋_GBK" w:eastAsia="方正书宋_GBK"/>
                <w:sz w:val="22"/>
                <w:szCs w:val="20"/>
              </w:rPr>
            </w:pPr>
            <w:r>
              <w:rPr>
                <w:rFonts w:hint="eastAsia"/>
                <w:sz w:val="22"/>
                <w:szCs w:val="20"/>
              </w:rPr>
              <w:t>中期准备（提前3个月至1个月）</w:t>
            </w:r>
          </w:p>
        </w:tc>
        <w:tc>
          <w:tcPr>
            <w:tcW w:w="9639" w:type="dxa"/>
          </w:tcPr>
          <w:p w14:paraId="6057AD10">
            <w:pPr>
              <w:snapToGrid w:val="0"/>
              <w:ind w:firstLine="0" w:firstLineChars="0"/>
              <w:jc w:val="left"/>
              <w:rPr>
                <w:rFonts w:ascii="方正书宋_GBK" w:eastAsia="方正书宋_GBK"/>
                <w:sz w:val="22"/>
                <w:szCs w:val="22"/>
              </w:rPr>
            </w:pPr>
            <w:r>
              <w:rPr>
                <w:rFonts w:hint="eastAsia" w:ascii="方正书宋_GBK" w:eastAsia="方正书宋_GBK"/>
                <w:sz w:val="22"/>
                <w:szCs w:val="22"/>
              </w:rPr>
              <w:t>1. 开放报名通道，通过官方网站、社交媒体等渠道发布报名信息。</w:t>
            </w:r>
          </w:p>
          <w:p w14:paraId="6057AD11">
            <w:pPr>
              <w:snapToGrid w:val="0"/>
              <w:ind w:firstLine="0" w:firstLineChars="0"/>
              <w:jc w:val="left"/>
              <w:rPr>
                <w:rFonts w:ascii="方正书宋_GBK" w:eastAsia="方正书宋_GBK"/>
                <w:sz w:val="22"/>
                <w:szCs w:val="22"/>
              </w:rPr>
            </w:pPr>
            <w:r>
              <w:rPr>
                <w:rFonts w:hint="eastAsia" w:ascii="方正书宋_GBK" w:eastAsia="方正书宋_GBK"/>
                <w:sz w:val="22"/>
                <w:szCs w:val="22"/>
              </w:rPr>
              <w:t>2. 发布志愿者招募信息，明确岗位职责和培训安排。</w:t>
            </w:r>
          </w:p>
          <w:p w14:paraId="6057AD12">
            <w:pPr>
              <w:snapToGrid w:val="0"/>
              <w:ind w:firstLine="0" w:firstLineChars="0"/>
              <w:jc w:val="left"/>
              <w:rPr>
                <w:rFonts w:ascii="方正书宋_GBK" w:eastAsia="方正书宋_GBK"/>
                <w:sz w:val="22"/>
                <w:szCs w:val="22"/>
              </w:rPr>
            </w:pPr>
            <w:r>
              <w:rPr>
                <w:rFonts w:hint="eastAsia" w:ascii="方正书宋_GBK" w:eastAsia="方正书宋_GBK"/>
                <w:sz w:val="22"/>
                <w:szCs w:val="22"/>
              </w:rPr>
              <w:t>3. 设计比赛区域、观众区、休息区等布局图。</w:t>
            </w:r>
          </w:p>
          <w:p w14:paraId="6057AD13">
            <w:pPr>
              <w:snapToGrid w:val="0"/>
              <w:ind w:firstLine="0" w:firstLineChars="0"/>
              <w:jc w:val="left"/>
              <w:rPr>
                <w:rFonts w:ascii="方正书宋_GBK" w:eastAsia="方正书宋_GBK"/>
                <w:sz w:val="22"/>
                <w:szCs w:val="22"/>
              </w:rPr>
            </w:pPr>
            <w:r>
              <w:rPr>
                <w:rFonts w:hint="eastAsia" w:ascii="方正书宋_GBK" w:eastAsia="方正书宋_GBK"/>
                <w:sz w:val="22"/>
                <w:szCs w:val="22"/>
              </w:rPr>
              <w:t>4. 租赁或购买所需的计时器、魔方、桌椅等设备。</w:t>
            </w:r>
          </w:p>
          <w:p w14:paraId="6057AD14">
            <w:pPr>
              <w:snapToGrid w:val="0"/>
              <w:ind w:firstLine="0" w:firstLineChars="0"/>
              <w:jc w:val="left"/>
              <w:rPr>
                <w:rFonts w:ascii="方正书宋_GBK" w:eastAsia="方正书宋_GBK"/>
                <w:sz w:val="22"/>
                <w:szCs w:val="22"/>
              </w:rPr>
            </w:pPr>
            <w:r>
              <w:rPr>
                <w:rFonts w:hint="eastAsia" w:ascii="方正书宋_GBK" w:eastAsia="方正书宋_GBK"/>
                <w:sz w:val="22"/>
                <w:szCs w:val="22"/>
              </w:rPr>
              <w:t>5. 通过各种渠道加大宣传力度，吸引更多参赛者和观众。</w:t>
            </w:r>
          </w:p>
          <w:p w14:paraId="6057AD15">
            <w:pPr>
              <w:snapToGrid w:val="0"/>
              <w:ind w:firstLine="0" w:firstLineChars="0"/>
              <w:jc w:val="left"/>
              <w:rPr>
                <w:rFonts w:ascii="方正书宋_GBK" w:eastAsia="方正书宋_GBK"/>
                <w:sz w:val="22"/>
                <w:szCs w:val="22"/>
              </w:rPr>
            </w:pPr>
            <w:r>
              <w:rPr>
                <w:rFonts w:hint="eastAsia" w:ascii="方正书宋_GBK" w:eastAsia="方正书宋_GBK"/>
                <w:sz w:val="22"/>
                <w:szCs w:val="22"/>
              </w:rPr>
              <w:t>6. 针对可能出现的各种突发情况，制定详细的应急预案。</w:t>
            </w:r>
          </w:p>
          <w:p w14:paraId="6057AD16">
            <w:pPr>
              <w:snapToGrid w:val="0"/>
              <w:ind w:firstLine="0" w:firstLineChars="0"/>
              <w:jc w:val="left"/>
              <w:rPr>
                <w:rFonts w:ascii="方正书宋_GBK" w:eastAsia="方正书宋_GBK"/>
                <w:sz w:val="36"/>
                <w:szCs w:val="36"/>
              </w:rPr>
            </w:pPr>
            <w:r>
              <w:rPr>
                <w:rFonts w:hint="eastAsia" w:ascii="方正书宋_GBK" w:eastAsia="方正书宋_GBK"/>
                <w:sz w:val="22"/>
                <w:szCs w:val="22"/>
              </w:rPr>
              <w:t>7. 联系当地医疗机构，确保比赛期间有急救支持。检查场地的安全设施，确保紧急出口畅通。</w:t>
            </w:r>
          </w:p>
        </w:tc>
      </w:tr>
      <w:tr w14:paraId="6057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6057AD18">
            <w:pPr>
              <w:ind w:firstLine="0" w:firstLineChars="0"/>
              <w:jc w:val="center"/>
              <w:rPr>
                <w:rFonts w:ascii="方正书宋_GBK" w:eastAsia="方正书宋_GBK"/>
                <w:sz w:val="22"/>
                <w:szCs w:val="20"/>
              </w:rPr>
            </w:pPr>
            <w:r>
              <w:rPr>
                <w:rFonts w:hint="eastAsia"/>
                <w:sz w:val="22"/>
                <w:szCs w:val="20"/>
              </w:rPr>
              <w:t>短期准备（提前1周至比赛前一天）</w:t>
            </w:r>
          </w:p>
        </w:tc>
        <w:tc>
          <w:tcPr>
            <w:tcW w:w="9639" w:type="dxa"/>
          </w:tcPr>
          <w:p w14:paraId="6057AD19">
            <w:pPr>
              <w:snapToGrid w:val="0"/>
              <w:ind w:firstLine="0" w:firstLineChars="0"/>
              <w:jc w:val="left"/>
              <w:rPr>
                <w:rFonts w:ascii="方正书宋_GBK" w:eastAsia="方正书宋_GBK"/>
                <w:sz w:val="22"/>
                <w:szCs w:val="22"/>
              </w:rPr>
            </w:pPr>
            <w:r>
              <w:rPr>
                <w:rFonts w:hint="eastAsia" w:ascii="方正书宋_GBK" w:eastAsia="方正书宋_GBK"/>
                <w:sz w:val="22"/>
                <w:szCs w:val="22"/>
              </w:rPr>
              <w:t>1. 根据布置计划，搭建比赛所需的所有设施。</w:t>
            </w:r>
          </w:p>
          <w:p w14:paraId="6057AD1A">
            <w:pPr>
              <w:snapToGrid w:val="0"/>
              <w:ind w:firstLine="0" w:firstLineChars="0"/>
              <w:jc w:val="left"/>
              <w:rPr>
                <w:rFonts w:ascii="方正书宋_GBK" w:eastAsia="方正书宋_GBK"/>
                <w:sz w:val="22"/>
                <w:szCs w:val="22"/>
              </w:rPr>
            </w:pPr>
            <w:r>
              <w:rPr>
                <w:rFonts w:hint="eastAsia" w:ascii="方正书宋_GBK" w:eastAsia="方正书宋_GBK"/>
                <w:sz w:val="22"/>
                <w:szCs w:val="22"/>
              </w:rPr>
              <w:t>2. 检查电源、网络、音响等设备的运行情况。</w:t>
            </w:r>
          </w:p>
          <w:p w14:paraId="6057AD1B">
            <w:pPr>
              <w:snapToGrid w:val="0"/>
              <w:ind w:firstLine="0" w:firstLineChars="0"/>
              <w:jc w:val="left"/>
              <w:rPr>
                <w:rFonts w:ascii="方正书宋_GBK" w:eastAsia="方正书宋_GBK"/>
                <w:sz w:val="22"/>
                <w:szCs w:val="22"/>
              </w:rPr>
            </w:pPr>
            <w:r>
              <w:rPr>
                <w:rFonts w:hint="eastAsia" w:ascii="方正书宋_GBK" w:eastAsia="方正书宋_GBK"/>
                <w:sz w:val="22"/>
                <w:szCs w:val="22"/>
              </w:rPr>
              <w:t>3. 对志愿者进行培训，确保他们熟悉各自的工作职责。</w:t>
            </w:r>
          </w:p>
          <w:p w14:paraId="6057AD1C">
            <w:pPr>
              <w:snapToGrid w:val="0"/>
              <w:ind w:firstLine="0" w:firstLineChars="0"/>
              <w:jc w:val="left"/>
              <w:rPr>
                <w:rFonts w:ascii="方正书宋_GBK" w:eastAsia="方正书宋_GBK"/>
                <w:sz w:val="22"/>
                <w:szCs w:val="22"/>
              </w:rPr>
            </w:pPr>
            <w:r>
              <w:rPr>
                <w:rFonts w:hint="eastAsia" w:ascii="方正书宋_GBK" w:eastAsia="方正书宋_GBK"/>
                <w:sz w:val="22"/>
                <w:szCs w:val="22"/>
              </w:rPr>
              <w:t>4. 最终确认参赛者的名单，发送比赛指南和注意事项。</w:t>
            </w:r>
          </w:p>
          <w:p w14:paraId="6057AD1D">
            <w:pPr>
              <w:snapToGrid w:val="0"/>
              <w:ind w:firstLine="0" w:firstLineChars="0"/>
              <w:jc w:val="left"/>
              <w:rPr>
                <w:rFonts w:ascii="方正书宋_GBK" w:eastAsia="方正书宋_GBK"/>
                <w:sz w:val="22"/>
                <w:szCs w:val="22"/>
              </w:rPr>
            </w:pPr>
            <w:r>
              <w:rPr>
                <w:rFonts w:hint="eastAsia" w:ascii="方正书宋_GBK" w:eastAsia="方正书宋_GBK"/>
                <w:sz w:val="22"/>
                <w:szCs w:val="22"/>
              </w:rPr>
              <w:t>5. 邀请媒体代表前来报道，提供必要的采访支持。</w:t>
            </w:r>
          </w:p>
          <w:p w14:paraId="6057AD1E">
            <w:pPr>
              <w:snapToGrid w:val="0"/>
              <w:ind w:firstLine="0" w:firstLineChars="0"/>
              <w:jc w:val="left"/>
              <w:rPr>
                <w:rFonts w:ascii="方正书宋_GBK" w:eastAsia="方正书宋_GBK"/>
                <w:sz w:val="22"/>
                <w:szCs w:val="22"/>
              </w:rPr>
            </w:pPr>
            <w:r>
              <w:rPr>
                <w:rFonts w:hint="eastAsia" w:ascii="方正书宋_GBK" w:eastAsia="方正书宋_GBK"/>
                <w:sz w:val="22"/>
                <w:szCs w:val="22"/>
              </w:rPr>
              <w:t>6. 对场地进行全面检查，确保一切准备就绪。</w:t>
            </w:r>
          </w:p>
        </w:tc>
      </w:tr>
      <w:tr w14:paraId="6057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6057AD20">
            <w:pPr>
              <w:ind w:firstLine="0" w:firstLineChars="0"/>
              <w:jc w:val="center"/>
              <w:rPr>
                <w:rFonts w:ascii="方正书宋_GBK" w:eastAsia="方正书宋_GBK"/>
                <w:sz w:val="22"/>
                <w:szCs w:val="20"/>
              </w:rPr>
            </w:pPr>
            <w:r>
              <w:rPr>
                <w:rFonts w:hint="eastAsia"/>
                <w:sz w:val="22"/>
                <w:szCs w:val="20"/>
              </w:rPr>
              <w:t>比赛当天</w:t>
            </w:r>
          </w:p>
        </w:tc>
        <w:tc>
          <w:tcPr>
            <w:tcW w:w="9639" w:type="dxa"/>
          </w:tcPr>
          <w:p w14:paraId="6057AD21">
            <w:pPr>
              <w:snapToGrid w:val="0"/>
              <w:ind w:firstLine="0" w:firstLineChars="0"/>
              <w:jc w:val="left"/>
              <w:rPr>
                <w:rFonts w:ascii="方正书宋_GBK" w:eastAsia="方正书宋_GBK"/>
                <w:sz w:val="22"/>
                <w:szCs w:val="22"/>
              </w:rPr>
            </w:pPr>
            <w:r>
              <w:rPr>
                <w:rFonts w:hint="eastAsia" w:ascii="方正书宋_GBK" w:eastAsia="方正书宋_GBK"/>
                <w:sz w:val="22"/>
                <w:szCs w:val="22"/>
              </w:rPr>
              <w:t>1. 设置签到处，为参赛者发放参赛证和相关资料。</w:t>
            </w:r>
          </w:p>
          <w:p w14:paraId="6057AD22">
            <w:pPr>
              <w:snapToGrid w:val="0"/>
              <w:ind w:firstLine="0" w:firstLineChars="0"/>
              <w:jc w:val="left"/>
              <w:rPr>
                <w:rFonts w:ascii="方正书宋_GBK" w:eastAsia="方正书宋_GBK"/>
                <w:sz w:val="22"/>
                <w:szCs w:val="22"/>
              </w:rPr>
            </w:pPr>
            <w:r>
              <w:rPr>
                <w:rFonts w:hint="eastAsia" w:ascii="方正书宋_GBK" w:eastAsia="方正书宋_GBK"/>
                <w:sz w:val="22"/>
                <w:szCs w:val="22"/>
              </w:rPr>
              <w:t>2. 举行简短的开幕式，介绍比赛规则和流程。</w:t>
            </w:r>
          </w:p>
          <w:p w14:paraId="6057AD23">
            <w:pPr>
              <w:snapToGrid w:val="0"/>
              <w:ind w:firstLine="0" w:firstLineChars="0"/>
              <w:jc w:val="left"/>
              <w:rPr>
                <w:rFonts w:ascii="方正书宋_GBK" w:eastAsia="方正书宋_GBK"/>
                <w:sz w:val="22"/>
                <w:szCs w:val="22"/>
              </w:rPr>
            </w:pPr>
            <w:r>
              <w:rPr>
                <w:rFonts w:hint="eastAsia" w:ascii="方正书宋_GBK" w:eastAsia="方正书宋_GBK"/>
                <w:sz w:val="22"/>
                <w:szCs w:val="22"/>
              </w:rPr>
              <w:t>3. 按照预定的时间表进行比赛，确保每个环节顺利进行。</w:t>
            </w:r>
          </w:p>
          <w:p w14:paraId="6057AD24">
            <w:pPr>
              <w:snapToGrid w:val="0"/>
              <w:ind w:firstLine="0" w:firstLineChars="0"/>
              <w:jc w:val="left"/>
              <w:rPr>
                <w:rFonts w:ascii="方正书宋_GBK" w:eastAsia="方正书宋_GBK"/>
                <w:sz w:val="22"/>
                <w:szCs w:val="22"/>
              </w:rPr>
            </w:pPr>
            <w:r>
              <w:rPr>
                <w:rFonts w:hint="eastAsia" w:ascii="方正书宋_GBK" w:eastAsia="方正书宋_GBK"/>
                <w:sz w:val="22"/>
                <w:szCs w:val="22"/>
              </w:rPr>
              <w:t>4. 及时记录比赛成绩，并在指定区域公布。</w:t>
            </w:r>
          </w:p>
          <w:p w14:paraId="6057AD25">
            <w:pPr>
              <w:snapToGrid w:val="0"/>
              <w:ind w:firstLine="0" w:firstLineChars="0"/>
              <w:jc w:val="left"/>
              <w:rPr>
                <w:rFonts w:ascii="方正书宋_GBK" w:eastAsia="方正书宋_GBK"/>
                <w:sz w:val="22"/>
                <w:szCs w:val="22"/>
              </w:rPr>
            </w:pPr>
            <w:r>
              <w:rPr>
                <w:rFonts w:hint="eastAsia" w:ascii="方正书宋_GBK" w:eastAsia="方正书宋_GBK"/>
                <w:sz w:val="22"/>
                <w:szCs w:val="22"/>
              </w:rPr>
              <w:t>5. 举行颁奖仪式，为获奖者颁发奖品和证书。</w:t>
            </w:r>
          </w:p>
          <w:p w14:paraId="6057AD26">
            <w:pPr>
              <w:snapToGrid w:val="0"/>
              <w:ind w:firstLine="0" w:firstLineChars="0"/>
              <w:jc w:val="left"/>
              <w:rPr>
                <w:rFonts w:ascii="方正书宋_GBK" w:eastAsia="方正书宋_GBK"/>
                <w:sz w:val="22"/>
                <w:szCs w:val="22"/>
              </w:rPr>
            </w:pPr>
            <w:r>
              <w:rPr>
                <w:rFonts w:hint="eastAsia" w:ascii="方正书宋_GBK" w:eastAsia="方正书宋_GBK"/>
                <w:sz w:val="22"/>
                <w:szCs w:val="22"/>
              </w:rPr>
              <w:t>6. 比赛后立即开始清理场地，恢复原状。</w:t>
            </w:r>
          </w:p>
        </w:tc>
      </w:tr>
      <w:tr w14:paraId="6057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6057AD28">
            <w:pPr>
              <w:ind w:firstLine="0" w:firstLineChars="0"/>
              <w:jc w:val="center"/>
              <w:rPr>
                <w:rFonts w:ascii="方正书宋_GBK" w:eastAsia="方正书宋_GBK"/>
                <w:sz w:val="22"/>
                <w:szCs w:val="20"/>
              </w:rPr>
            </w:pPr>
            <w:r>
              <w:rPr>
                <w:rFonts w:hint="eastAsia"/>
                <w:sz w:val="22"/>
                <w:szCs w:val="20"/>
              </w:rPr>
              <w:t>后期总结（比赛结束后1周内）</w:t>
            </w:r>
          </w:p>
        </w:tc>
        <w:tc>
          <w:tcPr>
            <w:tcW w:w="9639" w:type="dxa"/>
          </w:tcPr>
          <w:p w14:paraId="6057AD29">
            <w:pPr>
              <w:snapToGrid w:val="0"/>
              <w:ind w:firstLine="0" w:firstLineChars="0"/>
              <w:jc w:val="left"/>
              <w:rPr>
                <w:rFonts w:ascii="方正书宋_GBK" w:eastAsia="方正书宋_GBK"/>
                <w:sz w:val="22"/>
                <w:szCs w:val="22"/>
              </w:rPr>
            </w:pPr>
            <w:r>
              <w:rPr>
                <w:rFonts w:hint="eastAsia" w:ascii="方正书宋_GBK" w:eastAsia="方正书宋_GBK"/>
                <w:sz w:val="22"/>
                <w:szCs w:val="22"/>
              </w:rPr>
              <w:t>1. 通过问卷调查等方式，收集参赛者、观众和志愿者的反馈意见。</w:t>
            </w:r>
          </w:p>
          <w:p w14:paraId="6057AD2A">
            <w:pPr>
              <w:snapToGrid w:val="0"/>
              <w:ind w:firstLine="0" w:firstLineChars="0"/>
              <w:jc w:val="left"/>
              <w:rPr>
                <w:rFonts w:ascii="方正书宋_GBK" w:eastAsia="方正书宋_GBK"/>
                <w:sz w:val="22"/>
                <w:szCs w:val="22"/>
              </w:rPr>
            </w:pPr>
            <w:r>
              <w:rPr>
                <w:rFonts w:hint="eastAsia" w:ascii="方正书宋_GBK" w:eastAsia="方正书宋_GBK"/>
                <w:sz w:val="22"/>
                <w:szCs w:val="22"/>
              </w:rPr>
              <w:t>2. 进行财务审计，确保所有收支账目清晰。</w:t>
            </w:r>
          </w:p>
          <w:p w14:paraId="6057AD2B">
            <w:pPr>
              <w:snapToGrid w:val="0"/>
              <w:ind w:firstLine="0" w:firstLineChars="0"/>
              <w:jc w:val="left"/>
              <w:rPr>
                <w:rFonts w:ascii="方正书宋_GBK" w:eastAsia="方正书宋_GBK"/>
                <w:sz w:val="22"/>
                <w:szCs w:val="22"/>
              </w:rPr>
            </w:pPr>
            <w:r>
              <w:rPr>
                <w:rFonts w:hint="eastAsia" w:ascii="方正书宋_GBK" w:eastAsia="方正书宋_GBK"/>
                <w:sz w:val="22"/>
                <w:szCs w:val="22"/>
              </w:rPr>
              <w:t>3. 向合作伙伴、赞助商递交比赛总结报告、感谢信。</w:t>
            </w:r>
          </w:p>
          <w:p w14:paraId="6057AD2C">
            <w:pPr>
              <w:snapToGrid w:val="0"/>
              <w:ind w:firstLine="0" w:firstLineChars="0"/>
              <w:jc w:val="left"/>
              <w:rPr>
                <w:rFonts w:ascii="方正书宋_GBK" w:eastAsia="方正书宋_GBK"/>
                <w:sz w:val="22"/>
                <w:szCs w:val="22"/>
              </w:rPr>
            </w:pPr>
            <w:r>
              <w:rPr>
                <w:rFonts w:hint="eastAsia" w:ascii="方正书宋_GBK" w:eastAsia="方正书宋_GBK"/>
                <w:sz w:val="22"/>
                <w:szCs w:val="22"/>
              </w:rPr>
              <w:t>4. 向工作人员结算薪资，并对工作人员为比赛做出重大贡献致以感谢。</w:t>
            </w:r>
          </w:p>
          <w:p w14:paraId="6057AD2D">
            <w:pPr>
              <w:snapToGrid w:val="0"/>
              <w:ind w:firstLine="0" w:firstLineChars="0"/>
              <w:jc w:val="left"/>
              <w:rPr>
                <w:rFonts w:ascii="方正书宋_GBK" w:eastAsia="方正书宋_GBK"/>
                <w:sz w:val="22"/>
                <w:szCs w:val="22"/>
              </w:rPr>
            </w:pPr>
            <w:r>
              <w:rPr>
                <w:rFonts w:hint="eastAsia" w:ascii="方正书宋_GBK" w:eastAsia="方正书宋_GBK"/>
                <w:sz w:val="22"/>
                <w:szCs w:val="22"/>
              </w:rPr>
              <w:t>5. 编写比赛总结报告，记录成功经验和需要改进的地方。</w:t>
            </w:r>
          </w:p>
          <w:p w14:paraId="6057AD2E">
            <w:pPr>
              <w:snapToGrid w:val="0"/>
              <w:ind w:firstLine="0" w:firstLineChars="0"/>
              <w:jc w:val="left"/>
              <w:rPr>
                <w:rFonts w:ascii="方正书宋_GBK" w:eastAsia="方正书宋_GBK"/>
                <w:sz w:val="22"/>
                <w:szCs w:val="22"/>
              </w:rPr>
            </w:pPr>
            <w:r>
              <w:rPr>
                <w:rFonts w:hint="eastAsia" w:ascii="方正书宋_GBK" w:eastAsia="方正书宋_GBK"/>
                <w:sz w:val="22"/>
                <w:szCs w:val="22"/>
              </w:rPr>
              <w:t>6. 将比赛相关的所有资料进行归档，以备未来参考。</w:t>
            </w:r>
          </w:p>
        </w:tc>
      </w:tr>
    </w:tbl>
    <w:p w14:paraId="6057AD30">
      <w:pPr>
        <w:ind w:firstLine="0" w:firstLineChars="0"/>
        <w:rPr>
          <w:rFonts w:ascii="方正书宋_GBK" w:eastAsia="方正书宋_GBK"/>
          <w:sz w:val="36"/>
          <w:szCs w:val="36"/>
        </w:rPr>
      </w:pPr>
    </w:p>
    <w:sectPr>
      <w:pgSz w:w="16838" w:h="11906" w:orient="landscape"/>
      <w:pgMar w:top="1531" w:right="2098" w:bottom="1531" w:left="1985" w:header="851" w:footer="992"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AD38">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AD37">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AD3A">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AD36">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AD35">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AD39">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35273"/>
    <w:multiLevelType w:val="multilevel"/>
    <w:tmpl w:val="65635273"/>
    <w:lvl w:ilvl="0" w:tentative="0">
      <w:start w:val="1"/>
      <w:numFmt w:val="japaneseCounting"/>
      <w:lvlText w:val="（%1）"/>
      <w:lvlJc w:val="left"/>
      <w:pPr>
        <w:ind w:left="1712" w:hanging="1080"/>
      </w:pPr>
      <w:rPr>
        <w:rFonts w:hint="default"/>
      </w:rPr>
    </w:lvl>
    <w:lvl w:ilvl="1" w:tentative="0">
      <w:start w:val="1"/>
      <w:numFmt w:val="lowerLetter"/>
      <w:lvlText w:val="%2)"/>
      <w:lvlJc w:val="left"/>
      <w:pPr>
        <w:ind w:left="1512" w:hanging="440"/>
      </w:pPr>
    </w:lvl>
    <w:lvl w:ilvl="2" w:tentative="0">
      <w:start w:val="1"/>
      <w:numFmt w:val="lowerRoman"/>
      <w:lvlText w:val="%3."/>
      <w:lvlJc w:val="right"/>
      <w:pPr>
        <w:ind w:left="1952" w:hanging="440"/>
      </w:pPr>
    </w:lvl>
    <w:lvl w:ilvl="3" w:tentative="0">
      <w:start w:val="1"/>
      <w:numFmt w:val="decimal"/>
      <w:lvlText w:val="%4."/>
      <w:lvlJc w:val="left"/>
      <w:pPr>
        <w:ind w:left="2392" w:hanging="440"/>
      </w:pPr>
    </w:lvl>
    <w:lvl w:ilvl="4" w:tentative="0">
      <w:start w:val="1"/>
      <w:numFmt w:val="lowerLetter"/>
      <w:lvlText w:val="%5)"/>
      <w:lvlJc w:val="left"/>
      <w:pPr>
        <w:ind w:left="2832" w:hanging="440"/>
      </w:pPr>
    </w:lvl>
    <w:lvl w:ilvl="5" w:tentative="0">
      <w:start w:val="1"/>
      <w:numFmt w:val="lowerRoman"/>
      <w:lvlText w:val="%6."/>
      <w:lvlJc w:val="right"/>
      <w:pPr>
        <w:ind w:left="3272" w:hanging="440"/>
      </w:pPr>
    </w:lvl>
    <w:lvl w:ilvl="6" w:tentative="0">
      <w:start w:val="1"/>
      <w:numFmt w:val="decimal"/>
      <w:lvlText w:val="%7."/>
      <w:lvlJc w:val="left"/>
      <w:pPr>
        <w:ind w:left="3712" w:hanging="440"/>
      </w:pPr>
    </w:lvl>
    <w:lvl w:ilvl="7" w:tentative="0">
      <w:start w:val="1"/>
      <w:numFmt w:val="lowerLetter"/>
      <w:lvlText w:val="%8)"/>
      <w:lvlJc w:val="left"/>
      <w:pPr>
        <w:ind w:left="4152" w:hanging="440"/>
      </w:pPr>
    </w:lvl>
    <w:lvl w:ilvl="8" w:tentative="0">
      <w:start w:val="1"/>
      <w:numFmt w:val="lowerRoman"/>
      <w:lvlText w:val="%9."/>
      <w:lvlJc w:val="right"/>
      <w:pPr>
        <w:ind w:left="459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06"/>
    <w:rsid w:val="00001F67"/>
    <w:rsid w:val="00004CAC"/>
    <w:rsid w:val="00006F5A"/>
    <w:rsid w:val="00007C4E"/>
    <w:rsid w:val="00011359"/>
    <w:rsid w:val="000411CA"/>
    <w:rsid w:val="00047721"/>
    <w:rsid w:val="000741DA"/>
    <w:rsid w:val="000839FD"/>
    <w:rsid w:val="000956AF"/>
    <w:rsid w:val="00095894"/>
    <w:rsid w:val="000966B9"/>
    <w:rsid w:val="000A5D69"/>
    <w:rsid w:val="000B5D8A"/>
    <w:rsid w:val="000E4167"/>
    <w:rsid w:val="000F28DD"/>
    <w:rsid w:val="00117803"/>
    <w:rsid w:val="00126ECF"/>
    <w:rsid w:val="00135169"/>
    <w:rsid w:val="00141CC9"/>
    <w:rsid w:val="00145DCF"/>
    <w:rsid w:val="001543D2"/>
    <w:rsid w:val="00180571"/>
    <w:rsid w:val="001816A3"/>
    <w:rsid w:val="00194B8E"/>
    <w:rsid w:val="00194E38"/>
    <w:rsid w:val="001B27BE"/>
    <w:rsid w:val="001F7855"/>
    <w:rsid w:val="002223CF"/>
    <w:rsid w:val="0024031B"/>
    <w:rsid w:val="00240E7D"/>
    <w:rsid w:val="00261FAD"/>
    <w:rsid w:val="002778BC"/>
    <w:rsid w:val="002805EE"/>
    <w:rsid w:val="0028702D"/>
    <w:rsid w:val="002970DA"/>
    <w:rsid w:val="002A11C5"/>
    <w:rsid w:val="002A15FF"/>
    <w:rsid w:val="002A25EF"/>
    <w:rsid w:val="002C3776"/>
    <w:rsid w:val="002C4C19"/>
    <w:rsid w:val="002C5EE0"/>
    <w:rsid w:val="002D31E0"/>
    <w:rsid w:val="002D7600"/>
    <w:rsid w:val="002E0477"/>
    <w:rsid w:val="002E33C4"/>
    <w:rsid w:val="002E7878"/>
    <w:rsid w:val="003033C5"/>
    <w:rsid w:val="00312C10"/>
    <w:rsid w:val="00344D6D"/>
    <w:rsid w:val="00354E75"/>
    <w:rsid w:val="003A2011"/>
    <w:rsid w:val="003A46E3"/>
    <w:rsid w:val="003A68C8"/>
    <w:rsid w:val="003D4FC4"/>
    <w:rsid w:val="003D6E83"/>
    <w:rsid w:val="003E5188"/>
    <w:rsid w:val="003F31E4"/>
    <w:rsid w:val="003F4837"/>
    <w:rsid w:val="00404481"/>
    <w:rsid w:val="004127C0"/>
    <w:rsid w:val="00421A06"/>
    <w:rsid w:val="0042426A"/>
    <w:rsid w:val="00443FB6"/>
    <w:rsid w:val="0045549D"/>
    <w:rsid w:val="00462E77"/>
    <w:rsid w:val="004762EF"/>
    <w:rsid w:val="004950B4"/>
    <w:rsid w:val="004B60EF"/>
    <w:rsid w:val="004E7DCE"/>
    <w:rsid w:val="00501246"/>
    <w:rsid w:val="00504C79"/>
    <w:rsid w:val="005063C6"/>
    <w:rsid w:val="00516C88"/>
    <w:rsid w:val="005403B9"/>
    <w:rsid w:val="00596CA9"/>
    <w:rsid w:val="005A5AA9"/>
    <w:rsid w:val="005C1A01"/>
    <w:rsid w:val="005C6A6D"/>
    <w:rsid w:val="005D6BAB"/>
    <w:rsid w:val="005E2A6B"/>
    <w:rsid w:val="005F17F8"/>
    <w:rsid w:val="00600088"/>
    <w:rsid w:val="006038CC"/>
    <w:rsid w:val="0061058F"/>
    <w:rsid w:val="006172E5"/>
    <w:rsid w:val="00625D9A"/>
    <w:rsid w:val="00646C24"/>
    <w:rsid w:val="0065247E"/>
    <w:rsid w:val="006762BD"/>
    <w:rsid w:val="00687DC7"/>
    <w:rsid w:val="00691363"/>
    <w:rsid w:val="0069794E"/>
    <w:rsid w:val="006C14D9"/>
    <w:rsid w:val="006C3DD9"/>
    <w:rsid w:val="006D3B5A"/>
    <w:rsid w:val="006D3DA2"/>
    <w:rsid w:val="006D63F8"/>
    <w:rsid w:val="006E1D10"/>
    <w:rsid w:val="006E6CAF"/>
    <w:rsid w:val="00707ED7"/>
    <w:rsid w:val="007249A9"/>
    <w:rsid w:val="007267A3"/>
    <w:rsid w:val="00730C48"/>
    <w:rsid w:val="00737FAB"/>
    <w:rsid w:val="0075421A"/>
    <w:rsid w:val="00773069"/>
    <w:rsid w:val="00787867"/>
    <w:rsid w:val="007B1464"/>
    <w:rsid w:val="007B35B7"/>
    <w:rsid w:val="007D30B5"/>
    <w:rsid w:val="007E378D"/>
    <w:rsid w:val="008015E6"/>
    <w:rsid w:val="00830E6E"/>
    <w:rsid w:val="00833ECA"/>
    <w:rsid w:val="0085061F"/>
    <w:rsid w:val="008968B3"/>
    <w:rsid w:val="008B0089"/>
    <w:rsid w:val="008E3966"/>
    <w:rsid w:val="009165BD"/>
    <w:rsid w:val="009264E6"/>
    <w:rsid w:val="00960821"/>
    <w:rsid w:val="009700A0"/>
    <w:rsid w:val="00973358"/>
    <w:rsid w:val="00985C3E"/>
    <w:rsid w:val="009A285D"/>
    <w:rsid w:val="009D0A99"/>
    <w:rsid w:val="009E58E8"/>
    <w:rsid w:val="009F3559"/>
    <w:rsid w:val="00A00199"/>
    <w:rsid w:val="00A10EFF"/>
    <w:rsid w:val="00A10FB4"/>
    <w:rsid w:val="00A21EA1"/>
    <w:rsid w:val="00A45D67"/>
    <w:rsid w:val="00A763B4"/>
    <w:rsid w:val="00AA2404"/>
    <w:rsid w:val="00AB1367"/>
    <w:rsid w:val="00AC0906"/>
    <w:rsid w:val="00AC4B87"/>
    <w:rsid w:val="00AD6056"/>
    <w:rsid w:val="00AE48F7"/>
    <w:rsid w:val="00AF3547"/>
    <w:rsid w:val="00B2086A"/>
    <w:rsid w:val="00B217E5"/>
    <w:rsid w:val="00B3162D"/>
    <w:rsid w:val="00B32B06"/>
    <w:rsid w:val="00B47648"/>
    <w:rsid w:val="00B478B6"/>
    <w:rsid w:val="00B850E7"/>
    <w:rsid w:val="00B95D64"/>
    <w:rsid w:val="00BB4CE2"/>
    <w:rsid w:val="00BD75B5"/>
    <w:rsid w:val="00BE3D0F"/>
    <w:rsid w:val="00BF0ADA"/>
    <w:rsid w:val="00BF1BB1"/>
    <w:rsid w:val="00BF2142"/>
    <w:rsid w:val="00BF7CE1"/>
    <w:rsid w:val="00C173CE"/>
    <w:rsid w:val="00C266BD"/>
    <w:rsid w:val="00C50F3B"/>
    <w:rsid w:val="00C74EB0"/>
    <w:rsid w:val="00C7501C"/>
    <w:rsid w:val="00C8684D"/>
    <w:rsid w:val="00C90B5D"/>
    <w:rsid w:val="00C97ADB"/>
    <w:rsid w:val="00C97F30"/>
    <w:rsid w:val="00CB239F"/>
    <w:rsid w:val="00CB4F89"/>
    <w:rsid w:val="00CD2840"/>
    <w:rsid w:val="00CD3D08"/>
    <w:rsid w:val="00D03635"/>
    <w:rsid w:val="00D21566"/>
    <w:rsid w:val="00D5386C"/>
    <w:rsid w:val="00D53E48"/>
    <w:rsid w:val="00D71CFE"/>
    <w:rsid w:val="00D853E4"/>
    <w:rsid w:val="00D862BD"/>
    <w:rsid w:val="00D93F86"/>
    <w:rsid w:val="00DE3BEE"/>
    <w:rsid w:val="00DF1B76"/>
    <w:rsid w:val="00DF7055"/>
    <w:rsid w:val="00E01B5D"/>
    <w:rsid w:val="00E05814"/>
    <w:rsid w:val="00E26ED8"/>
    <w:rsid w:val="00E61915"/>
    <w:rsid w:val="00E95FE2"/>
    <w:rsid w:val="00EB1BBC"/>
    <w:rsid w:val="00EC55FD"/>
    <w:rsid w:val="00EE34E9"/>
    <w:rsid w:val="00F0762B"/>
    <w:rsid w:val="00F26A97"/>
    <w:rsid w:val="00F3036D"/>
    <w:rsid w:val="00F40449"/>
    <w:rsid w:val="00F5124A"/>
    <w:rsid w:val="00F608F1"/>
    <w:rsid w:val="00F6559E"/>
    <w:rsid w:val="00F808E8"/>
    <w:rsid w:val="00F829CD"/>
    <w:rsid w:val="00F944AD"/>
    <w:rsid w:val="00F963E3"/>
    <w:rsid w:val="00FA0BFB"/>
    <w:rsid w:val="00FC77BD"/>
    <w:rsid w:val="00FD765B"/>
    <w:rsid w:val="00FE7F42"/>
    <w:rsid w:val="00FF114C"/>
    <w:rsid w:val="0AEC26C0"/>
    <w:rsid w:val="18E112F1"/>
    <w:rsid w:val="26357E83"/>
    <w:rsid w:val="29491A44"/>
    <w:rsid w:val="2F8B5CF3"/>
    <w:rsid w:val="34945B3E"/>
    <w:rsid w:val="39D10532"/>
    <w:rsid w:val="42007A35"/>
    <w:rsid w:val="4C2441D0"/>
    <w:rsid w:val="52BF7DD2"/>
    <w:rsid w:val="6A5D01A4"/>
    <w:rsid w:val="6B106E6A"/>
    <w:rsid w:val="6EF015E7"/>
    <w:rsid w:val="7B180082"/>
    <w:rsid w:val="7B8E4662"/>
    <w:rsid w:val="7EDB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方正仿宋_GBK" w:cs="Times New Roman"/>
      <w:color w:val="000000" w:themeColor="text1"/>
      <w:kern w:val="2"/>
      <w:sz w:val="32"/>
      <w:szCs w:val="24"/>
      <w:lang w:val="en-US" w:eastAsia="zh-CN" w:bidi="ar-SA"/>
      <w14:textFill>
        <w14:solidFill>
          <w14:schemeClr w14:val="tx1"/>
        </w14:solidFill>
      </w14:textFill>
    </w:rPr>
  </w:style>
  <w:style w:type="paragraph" w:styleId="2">
    <w:name w:val="heading 1"/>
    <w:basedOn w:val="1"/>
    <w:next w:val="1"/>
    <w:link w:val="22"/>
    <w:qFormat/>
    <w:uiPriority w:val="0"/>
    <w:pPr>
      <w:outlineLvl w:val="0"/>
    </w:pPr>
    <w:rPr>
      <w:rFonts w:eastAsia="方正黑体_GBK" w:cstheme="minorBidi"/>
      <w:bCs/>
      <w:color w:val="auto"/>
      <w:szCs w:val="44"/>
    </w:rPr>
  </w:style>
  <w:style w:type="paragraph" w:styleId="3">
    <w:name w:val="heading 2"/>
    <w:basedOn w:val="1"/>
    <w:next w:val="1"/>
    <w:link w:val="23"/>
    <w:unhideWhenUsed/>
    <w:qFormat/>
    <w:uiPriority w:val="0"/>
    <w:pPr>
      <w:adjustRightInd w:val="0"/>
      <w:snapToGrid w:val="0"/>
      <w:outlineLvl w:val="1"/>
    </w:pPr>
    <w:rPr>
      <w:rFonts w:eastAsia="方正楷体_GBK" w:asciiTheme="majorHAnsi" w:hAnsiTheme="majorHAnsi" w:cstheme="majorBidi"/>
      <w:bCs/>
      <w:color w:val="auto"/>
      <w:szCs w:val="32"/>
    </w:rPr>
  </w:style>
  <w:style w:type="paragraph" w:styleId="4">
    <w:name w:val="heading 3"/>
    <w:basedOn w:val="1"/>
    <w:next w:val="1"/>
    <w:link w:val="25"/>
    <w:unhideWhenUsed/>
    <w:qFormat/>
    <w:uiPriority w:val="0"/>
    <w:pPr>
      <w:outlineLvl w:val="2"/>
    </w:pPr>
    <w:rPr>
      <w:rFonts w:cstheme="minorBidi"/>
      <w:b/>
      <w:bCs/>
      <w:color w:val="auto"/>
      <w:szCs w:val="32"/>
    </w:rPr>
  </w:style>
  <w:style w:type="paragraph" w:styleId="5">
    <w:name w:val="heading 4"/>
    <w:basedOn w:val="1"/>
    <w:next w:val="1"/>
    <w:link w:val="27"/>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7">
    <w:name w:val="heading 6"/>
    <w:basedOn w:val="1"/>
    <w:next w:val="1"/>
    <w:link w:val="29"/>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30"/>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1"/>
    <w:unhideWhenUsed/>
    <w:qFormat/>
    <w:uiPriority w:val="99"/>
    <w:pPr>
      <w:tabs>
        <w:tab w:val="center" w:pos="4153"/>
        <w:tab w:val="right" w:pos="8306"/>
      </w:tabs>
      <w:snapToGrid w:val="0"/>
      <w:jc w:val="left"/>
    </w:pPr>
    <w:rPr>
      <w:sz w:val="18"/>
      <w:szCs w:val="18"/>
    </w:rPr>
  </w:style>
  <w:style w:type="paragraph" w:styleId="12">
    <w:name w:val="header"/>
    <w:basedOn w:val="1"/>
    <w:link w:val="40"/>
    <w:unhideWhenUsed/>
    <w:qFormat/>
    <w:uiPriority w:val="99"/>
    <w:pP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834"/>
      </w:tabs>
      <w:snapToGrid w:val="0"/>
      <w:spacing w:line="520" w:lineRule="exact"/>
      <w:ind w:firstLine="0" w:firstLineChars="0"/>
      <w:jc w:val="center"/>
    </w:pPr>
    <w:rPr>
      <w:rFonts w:eastAsia="方正楷体_GBK"/>
      <w:sz w:val="24"/>
    </w:rPr>
  </w:style>
  <w:style w:type="paragraph" w:styleId="14">
    <w:name w:val="Subtitle"/>
    <w:basedOn w:val="1"/>
    <w:next w:val="1"/>
    <w:link w:val="26"/>
    <w:qFormat/>
    <w:uiPriority w:val="11"/>
    <w:pPr>
      <w:snapToGrid w:val="0"/>
      <w:spacing w:line="520" w:lineRule="exact"/>
      <w:jc w:val="center"/>
    </w:pPr>
    <w:rPr>
      <w:rFonts w:eastAsia="方正楷体_GBK" w:cstheme="majorBidi"/>
      <w:spacing w:val="15"/>
      <w:sz w:val="28"/>
      <w:szCs w:val="28"/>
    </w:rPr>
  </w:style>
  <w:style w:type="paragraph" w:styleId="15">
    <w:name w:val="toc 2"/>
    <w:basedOn w:val="1"/>
    <w:next w:val="1"/>
    <w:unhideWhenUsed/>
    <w:qFormat/>
    <w:uiPriority w:val="39"/>
    <w:pPr>
      <w:snapToGrid w:val="0"/>
      <w:spacing w:line="520" w:lineRule="exact"/>
      <w:ind w:left="200" w:leftChars="200" w:firstLine="0" w:firstLineChars="0"/>
    </w:pPr>
    <w:rPr>
      <w:rFonts w:eastAsia="方正楷体_GBK"/>
      <w:sz w:val="24"/>
    </w:rPr>
  </w:style>
  <w:style w:type="paragraph" w:styleId="16">
    <w:name w:val="Normal (Web)"/>
    <w:basedOn w:val="1"/>
    <w:semiHidden/>
    <w:unhideWhenUsed/>
    <w:qFormat/>
    <w:uiPriority w:val="99"/>
    <w:rPr>
      <w:sz w:val="24"/>
    </w:rPr>
  </w:style>
  <w:style w:type="paragraph" w:styleId="17">
    <w:name w:val="Title"/>
    <w:basedOn w:val="18"/>
    <w:next w:val="1"/>
    <w:link w:val="24"/>
    <w:qFormat/>
    <w:uiPriority w:val="0"/>
    <w:pPr>
      <w:spacing w:before="0" w:after="0" w:line="600" w:lineRule="exact"/>
      <w:ind w:firstLine="0" w:firstLineChars="0"/>
      <w:jc w:val="center"/>
      <w:outlineLvl w:val="0"/>
    </w:pPr>
    <w:rPr>
      <w:rFonts w:eastAsia="方正小标宋_GBK" w:asciiTheme="majorHAnsi" w:hAnsiTheme="majorHAnsi" w:cstheme="majorBidi"/>
      <w:b w:val="0"/>
      <w:bCs/>
      <w:szCs w:val="32"/>
    </w:rPr>
  </w:style>
  <w:style w:type="paragraph" w:customStyle="1" w:styleId="18">
    <w:name w:val="TOC 标题1"/>
    <w:basedOn w:val="2"/>
    <w:next w:val="1"/>
    <w:semiHidden/>
    <w:unhideWhenUsed/>
    <w:qFormat/>
    <w:uiPriority w:val="39"/>
    <w:pPr>
      <w:spacing w:before="340" w:after="330" w:line="578" w:lineRule="auto"/>
      <w:outlineLvl w:val="9"/>
    </w:pPr>
    <w:rPr>
      <w:rFonts w:eastAsia="方正仿宋_GBK" w:cs="Times New Roman"/>
      <w:b/>
      <w:bCs w:val="0"/>
      <w:kern w:val="44"/>
      <w:sz w:val="4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标题 1 字符"/>
    <w:basedOn w:val="21"/>
    <w:link w:val="2"/>
    <w:qFormat/>
    <w:uiPriority w:val="0"/>
    <w:rPr>
      <w:rFonts w:eastAsia="方正黑体_GBK"/>
      <w:bCs/>
      <w:szCs w:val="44"/>
    </w:rPr>
  </w:style>
  <w:style w:type="character" w:customStyle="1" w:styleId="23">
    <w:name w:val="标题 2 字符"/>
    <w:basedOn w:val="21"/>
    <w:link w:val="3"/>
    <w:qFormat/>
    <w:uiPriority w:val="0"/>
    <w:rPr>
      <w:rFonts w:eastAsia="方正楷体_GBK" w:asciiTheme="majorHAnsi" w:hAnsiTheme="majorHAnsi" w:cstheme="majorBidi"/>
      <w:bCs/>
      <w:szCs w:val="32"/>
    </w:rPr>
  </w:style>
  <w:style w:type="character" w:customStyle="1" w:styleId="24">
    <w:name w:val="标题 字符"/>
    <w:basedOn w:val="21"/>
    <w:link w:val="17"/>
    <w:qFormat/>
    <w:uiPriority w:val="0"/>
    <w:rPr>
      <w:rFonts w:eastAsia="方正小标宋_GBK" w:asciiTheme="majorHAnsi" w:hAnsiTheme="majorHAnsi" w:cstheme="majorBidi"/>
      <w:kern w:val="44"/>
      <w:sz w:val="44"/>
      <w:szCs w:val="32"/>
    </w:rPr>
  </w:style>
  <w:style w:type="character" w:customStyle="1" w:styleId="25">
    <w:name w:val="标题 3 字符"/>
    <w:basedOn w:val="21"/>
    <w:link w:val="4"/>
    <w:qFormat/>
    <w:uiPriority w:val="0"/>
    <w:rPr>
      <w:b/>
      <w:bCs/>
      <w:szCs w:val="32"/>
    </w:rPr>
  </w:style>
  <w:style w:type="character" w:customStyle="1" w:styleId="26">
    <w:name w:val="副标题 字符"/>
    <w:basedOn w:val="21"/>
    <w:link w:val="14"/>
    <w:qFormat/>
    <w:uiPriority w:val="11"/>
    <w:rPr>
      <w:rFonts w:eastAsia="方正楷体_GBK" w:cstheme="majorBidi"/>
      <w:color w:val="000000" w:themeColor="text1"/>
      <w:spacing w:val="15"/>
      <w:sz w:val="28"/>
      <w:szCs w:val="28"/>
      <w14:textFill>
        <w14:solidFill>
          <w14:schemeClr w14:val="tx1"/>
        </w14:solidFill>
      </w14:textFill>
    </w:rPr>
  </w:style>
  <w:style w:type="character" w:customStyle="1" w:styleId="27">
    <w:name w:val="标题 4 字符"/>
    <w:basedOn w:val="21"/>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8">
    <w:name w:val="标题 5 字符"/>
    <w:basedOn w:val="21"/>
    <w:link w:val="6"/>
    <w:semiHidden/>
    <w:qFormat/>
    <w:uiPriority w:val="9"/>
    <w:rPr>
      <w:rFonts w:asciiTheme="minorHAnsi" w:hAnsiTheme="minorHAnsi" w:eastAsiaTheme="minorEastAsia" w:cstheme="majorBidi"/>
      <w:color w:val="104862" w:themeColor="accent1" w:themeShade="BF"/>
      <w:sz w:val="24"/>
    </w:rPr>
  </w:style>
  <w:style w:type="character" w:customStyle="1" w:styleId="29">
    <w:name w:val="标题 6 字符"/>
    <w:basedOn w:val="21"/>
    <w:link w:val="7"/>
    <w:semiHidden/>
    <w:qFormat/>
    <w:uiPriority w:val="9"/>
    <w:rPr>
      <w:rFonts w:asciiTheme="minorHAnsi" w:hAnsiTheme="minorHAnsi" w:eastAsiaTheme="minorEastAsia" w:cstheme="majorBidi"/>
      <w:b/>
      <w:bCs/>
      <w:color w:val="104862" w:themeColor="accent1" w:themeShade="BF"/>
    </w:rPr>
  </w:style>
  <w:style w:type="character" w:customStyle="1" w:styleId="30">
    <w:name w:val="标题 7 字符"/>
    <w:basedOn w:val="21"/>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1"/>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1"/>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1"/>
    <w:link w:val="33"/>
    <w:qFormat/>
    <w:uiPriority w:val="29"/>
    <w:rPr>
      <w:rFonts w:cs="Times New Roman"/>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2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21"/>
    <w:link w:val="37"/>
    <w:qFormat/>
    <w:uiPriority w:val="30"/>
    <w:rPr>
      <w:rFonts w:cs="Times New Roman"/>
      <w:i/>
      <w:iCs/>
      <w:color w:val="104862" w:themeColor="accent1" w:themeShade="BF"/>
    </w:rPr>
  </w:style>
  <w:style w:type="character" w:customStyle="1" w:styleId="39">
    <w:name w:val="明显参考1"/>
    <w:basedOn w:val="21"/>
    <w:qFormat/>
    <w:uiPriority w:val="32"/>
    <w:rPr>
      <w:b/>
      <w:bCs/>
      <w:smallCaps/>
      <w:color w:val="104862" w:themeColor="accent1" w:themeShade="BF"/>
      <w:spacing w:val="5"/>
    </w:rPr>
  </w:style>
  <w:style w:type="character" w:customStyle="1" w:styleId="40">
    <w:name w:val="页眉 字符"/>
    <w:basedOn w:val="21"/>
    <w:link w:val="12"/>
    <w:qFormat/>
    <w:uiPriority w:val="99"/>
    <w:rPr>
      <w:rFonts w:cs="Times New Roman"/>
      <w:color w:val="000000" w:themeColor="text1"/>
      <w:sz w:val="18"/>
      <w:szCs w:val="18"/>
      <w14:textFill>
        <w14:solidFill>
          <w14:schemeClr w14:val="tx1"/>
        </w14:solidFill>
      </w14:textFill>
    </w:rPr>
  </w:style>
  <w:style w:type="character" w:customStyle="1" w:styleId="41">
    <w:name w:val="页脚 字符"/>
    <w:basedOn w:val="21"/>
    <w:link w:val="11"/>
    <w:qFormat/>
    <w:uiPriority w:val="99"/>
    <w:rPr>
      <w:rFonts w:cs="Times New Roman"/>
      <w:color w:val="000000" w:themeColor="text1"/>
      <w:sz w:val="18"/>
      <w:szCs w:val="1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6529</Words>
  <Characters>6607</Characters>
  <Lines>48</Lines>
  <Paragraphs>13</Paragraphs>
  <TotalTime>0</TotalTime>
  <ScaleCrop>false</ScaleCrop>
  <LinksUpToDate>false</LinksUpToDate>
  <CharactersWithSpaces>6665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2025-03-26T12:53:00Z</dcterms:created>
  <dc:creator>耀明 张</dc:creator>
  <cp:lastModifiedBy>o</cp:lastModifiedBy>
  <dcterms:modified xsi:type="dcterms:W3CDTF">2025-05-15T01:33:54Z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eyJoZGlkIjoiMDc4MzcwNDg5OWIyNDAxYmJhMjU3ZWU4ZmRiZDQ0YTIiLCJ1c2VySWQiOiI0NTM2ODQ4MjgifQ==</vt:lpwstr>
  </property>
  <property fmtid="{D5CDD505-2E9C-101B-9397-08002B2CF9AE}" pid="3" name="KSOProductBuildVer">
    <vt:lpwstr>2052-12.1.0.20784</vt:lpwstr>
  </property>
  <property fmtid="{D5CDD505-2E9C-101B-9397-08002B2CF9AE}" pid="4" name="ICV">
    <vt:lpwstr>2D136DE5E4ED4052A14B96B74F7D8D97_12</vt:lpwstr>
  </property>
</Properties>
</file>