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飞盘运动场地器材标准</w:t>
      </w:r>
    </w:p>
    <w:p>
      <w:pPr>
        <w:rPr>
          <w:rFonts w:ascii="仿宋" w:hAnsi="仿宋" w:eastAsia="仿宋"/>
          <w:sz w:val="32"/>
          <w:szCs w:val="32"/>
        </w:rPr>
      </w:pPr>
      <w:bookmarkStart w:id="0" w:name="_GoBack"/>
      <w:bookmarkEnd w:id="0"/>
    </w:p>
    <w:p>
      <w:pPr>
        <w:pStyle w:val="8"/>
        <w:numPr>
          <w:ilvl w:val="0"/>
          <w:numId w:val="1"/>
        </w:numPr>
        <w:ind w:left="0" w:firstLine="0" w:firstLineChars="0"/>
        <w:rPr>
          <w:rFonts w:ascii="仿宋" w:hAnsi="仿宋" w:eastAsia="仿宋"/>
          <w:sz w:val="32"/>
          <w:szCs w:val="32"/>
        </w:rPr>
      </w:pPr>
      <w:r>
        <w:rPr>
          <w:rFonts w:hint="eastAsia" w:ascii="仿宋" w:hAnsi="仿宋" w:eastAsia="仿宋"/>
          <w:sz w:val="32"/>
          <w:szCs w:val="32"/>
        </w:rPr>
        <w:t>为加强和规范国内飞盘场地和器材管理工作，切实保障运动员的人身安全，促进项目健康发展，参照世界飞盘联合会有关规则与标准，结合我国飞盘运动项目发展实际，特制定本标准。</w:t>
      </w:r>
    </w:p>
    <w:p>
      <w:pPr>
        <w:pStyle w:val="8"/>
        <w:numPr>
          <w:ilvl w:val="0"/>
          <w:numId w:val="1"/>
        </w:numPr>
        <w:ind w:left="0" w:firstLine="0" w:firstLineChars="0"/>
        <w:rPr>
          <w:rFonts w:ascii="仿宋" w:hAnsi="仿宋" w:eastAsia="仿宋"/>
          <w:sz w:val="32"/>
          <w:szCs w:val="32"/>
        </w:rPr>
      </w:pPr>
      <w:r>
        <w:rPr>
          <w:rFonts w:hint="eastAsia" w:ascii="仿宋" w:hAnsi="仿宋" w:eastAsia="仿宋"/>
          <w:sz w:val="32"/>
          <w:szCs w:val="32"/>
        </w:rPr>
        <w:t>全国飞盘运动推广委员会是国内飞盘运动场地器材标准制定者和监督者，负责国内飞盘场地器材的检测、监督检查等工作。</w:t>
      </w:r>
    </w:p>
    <w:p>
      <w:pPr>
        <w:pStyle w:val="8"/>
        <w:numPr>
          <w:ilvl w:val="0"/>
          <w:numId w:val="1"/>
        </w:numPr>
        <w:ind w:left="0" w:firstLine="0" w:firstLineChars="0"/>
        <w:rPr>
          <w:rFonts w:ascii="仿宋" w:hAnsi="仿宋" w:eastAsia="仿宋"/>
          <w:sz w:val="32"/>
          <w:szCs w:val="32"/>
        </w:rPr>
      </w:pPr>
      <w:r>
        <w:rPr>
          <w:rFonts w:hint="eastAsia" w:ascii="仿宋" w:hAnsi="仿宋" w:eastAsia="仿宋"/>
          <w:sz w:val="32"/>
          <w:szCs w:val="32"/>
        </w:rPr>
        <w:t>飞盘</w:t>
      </w:r>
      <w:r>
        <w:rPr>
          <w:rFonts w:ascii="仿宋" w:hAnsi="仿宋" w:eastAsia="仿宋"/>
          <w:sz w:val="32"/>
          <w:szCs w:val="32"/>
        </w:rPr>
        <w:t>场地</w:t>
      </w:r>
      <w:r>
        <w:rPr>
          <w:rFonts w:hint="eastAsia" w:ascii="仿宋" w:hAnsi="仿宋" w:eastAsia="仿宋"/>
          <w:sz w:val="32"/>
          <w:szCs w:val="32"/>
        </w:rPr>
        <w:t>标准</w:t>
      </w:r>
    </w:p>
    <w:p>
      <w:pPr>
        <w:pStyle w:val="8"/>
        <w:numPr>
          <w:ilvl w:val="0"/>
          <w:numId w:val="2"/>
        </w:numPr>
        <w:ind w:left="0" w:leftChars="0" w:firstLine="420" w:firstLineChars="0"/>
        <w:rPr>
          <w:rFonts w:ascii="仿宋" w:hAnsi="仿宋" w:eastAsia="仿宋"/>
          <w:sz w:val="32"/>
          <w:szCs w:val="32"/>
        </w:rPr>
      </w:pPr>
      <w:r>
        <w:rPr>
          <w:rFonts w:ascii="仿宋" w:hAnsi="仿宋" w:eastAsia="仿宋"/>
          <w:sz w:val="32"/>
          <w:szCs w:val="32"/>
        </w:rPr>
        <w:t>比赛场地是一个</w:t>
      </w:r>
      <w:r>
        <w:rPr>
          <w:rFonts w:hint="eastAsia" w:ascii="仿宋" w:hAnsi="仿宋" w:eastAsia="仿宋"/>
          <w:sz w:val="32"/>
          <w:szCs w:val="32"/>
        </w:rPr>
        <w:t>长方形</w:t>
      </w:r>
      <w:r>
        <w:rPr>
          <w:rFonts w:ascii="仿宋" w:hAnsi="仿宋" w:eastAsia="仿宋"/>
          <w:sz w:val="32"/>
          <w:szCs w:val="32"/>
        </w:rPr>
        <w:t>区域，应平坦，没有障碍物，并合理保障</w:t>
      </w:r>
      <w:r>
        <w:rPr>
          <w:rFonts w:hint="eastAsia" w:ascii="仿宋" w:hAnsi="仿宋" w:eastAsia="仿宋"/>
          <w:sz w:val="32"/>
          <w:szCs w:val="32"/>
        </w:rPr>
        <w:t>比赛人员</w:t>
      </w:r>
      <w:r>
        <w:rPr>
          <w:rFonts w:ascii="仿宋" w:hAnsi="仿宋" w:eastAsia="仿宋"/>
          <w:sz w:val="32"/>
          <w:szCs w:val="32"/>
        </w:rPr>
        <w:t>的安全</w:t>
      </w:r>
      <w:r>
        <w:rPr>
          <w:rFonts w:hint="eastAsia" w:ascii="仿宋" w:hAnsi="仿宋" w:eastAsia="仿宋"/>
          <w:sz w:val="32"/>
          <w:szCs w:val="32"/>
        </w:rPr>
        <w:t>，场地为真草或人造草。</w:t>
      </w:r>
    </w:p>
    <w:p>
      <w:pPr>
        <w:pStyle w:val="8"/>
        <w:numPr>
          <w:ilvl w:val="0"/>
          <w:numId w:val="2"/>
        </w:numPr>
        <w:ind w:left="0" w:leftChars="0" w:firstLine="420" w:firstLineChars="0"/>
        <w:rPr>
          <w:rFonts w:ascii="仿宋" w:hAnsi="仿宋" w:eastAsia="仿宋"/>
          <w:sz w:val="32"/>
          <w:szCs w:val="32"/>
        </w:rPr>
      </w:pPr>
      <w:r>
        <w:rPr>
          <w:rFonts w:hint="eastAsia" w:ascii="仿宋" w:hAnsi="仿宋" w:eastAsia="仿宋"/>
          <w:sz w:val="32"/>
          <w:szCs w:val="32"/>
        </w:rPr>
        <w:t>对于世界飞盘联合会的正式比赛，场地尺寸为：长1</w:t>
      </w:r>
      <w:r>
        <w:rPr>
          <w:rFonts w:ascii="仿宋" w:hAnsi="仿宋" w:eastAsia="仿宋"/>
          <w:sz w:val="32"/>
          <w:szCs w:val="32"/>
        </w:rPr>
        <w:t>00</w:t>
      </w:r>
      <w:r>
        <w:rPr>
          <w:rFonts w:hint="eastAsia" w:ascii="仿宋" w:hAnsi="仿宋" w:eastAsia="仿宋"/>
          <w:sz w:val="32"/>
          <w:szCs w:val="32"/>
        </w:rPr>
        <w:t>米，宽3</w:t>
      </w:r>
      <w:r>
        <w:rPr>
          <w:rFonts w:ascii="仿宋" w:hAnsi="仿宋" w:eastAsia="仿宋"/>
          <w:sz w:val="32"/>
          <w:szCs w:val="32"/>
        </w:rPr>
        <w:t>7</w:t>
      </w:r>
      <w:r>
        <w:rPr>
          <w:rFonts w:hint="eastAsia" w:ascii="仿宋" w:hAnsi="仿宋" w:eastAsia="仿宋"/>
          <w:sz w:val="32"/>
          <w:szCs w:val="32"/>
        </w:rPr>
        <w:t>米。</w:t>
      </w:r>
    </w:p>
    <w:p>
      <w:pPr>
        <w:pStyle w:val="8"/>
        <w:numPr>
          <w:ilvl w:val="0"/>
          <w:numId w:val="2"/>
        </w:numPr>
        <w:ind w:left="0" w:leftChars="0" w:firstLine="420" w:firstLineChars="0"/>
        <w:rPr>
          <w:rFonts w:ascii="仿宋" w:hAnsi="仿宋" w:eastAsia="仿宋"/>
          <w:sz w:val="32"/>
          <w:szCs w:val="32"/>
        </w:rPr>
      </w:pPr>
      <w:r>
        <w:rPr>
          <w:rFonts w:hint="eastAsia" w:ascii="仿宋" w:hAnsi="仿宋" w:eastAsia="仿宋"/>
          <w:sz w:val="32"/>
          <w:szCs w:val="32"/>
        </w:rPr>
        <w:t>对于其他比赛，可根据现有场地情况进行等比例变动，如沙滩飞盘场地尺寸为长7</w:t>
      </w:r>
      <w:r>
        <w:rPr>
          <w:rFonts w:ascii="仿宋" w:hAnsi="仿宋" w:eastAsia="仿宋"/>
          <w:sz w:val="32"/>
          <w:szCs w:val="32"/>
        </w:rPr>
        <w:t>5</w:t>
      </w:r>
      <w:r>
        <w:rPr>
          <w:rFonts w:hint="eastAsia" w:ascii="仿宋" w:hAnsi="仿宋" w:eastAsia="仿宋"/>
          <w:sz w:val="32"/>
          <w:szCs w:val="32"/>
        </w:rPr>
        <w:t>米，宽</w:t>
      </w:r>
      <w:r>
        <w:rPr>
          <w:rFonts w:ascii="仿宋" w:hAnsi="仿宋" w:eastAsia="仿宋"/>
          <w:sz w:val="32"/>
          <w:szCs w:val="32"/>
        </w:rPr>
        <w:t>25</w:t>
      </w:r>
      <w:r>
        <w:rPr>
          <w:rFonts w:hint="eastAsia" w:ascii="仿宋" w:hAnsi="仿宋" w:eastAsia="仿宋"/>
          <w:sz w:val="32"/>
          <w:szCs w:val="32"/>
        </w:rPr>
        <w:t>米。</w:t>
      </w:r>
      <w:r>
        <w:rPr>
          <w:rFonts w:ascii="仿宋" w:hAnsi="仿宋" w:eastAsia="仿宋"/>
          <w:sz w:val="32"/>
          <w:szCs w:val="32"/>
        </w:rPr>
        <w:t xml:space="preserve"> </w:t>
      </w:r>
    </w:p>
    <w:p>
      <w:pPr>
        <w:pStyle w:val="8"/>
        <w:numPr>
          <w:ilvl w:val="0"/>
          <w:numId w:val="2"/>
        </w:numPr>
        <w:ind w:left="0" w:leftChars="0" w:firstLine="420" w:firstLineChars="0"/>
        <w:rPr>
          <w:rFonts w:ascii="仿宋" w:hAnsi="仿宋" w:eastAsia="仿宋"/>
          <w:sz w:val="32"/>
          <w:szCs w:val="32"/>
        </w:rPr>
      </w:pPr>
      <w:r>
        <w:rPr>
          <w:rFonts w:ascii="仿宋" w:hAnsi="仿宋" w:eastAsia="仿宋"/>
          <w:sz w:val="32"/>
          <w:szCs w:val="32"/>
        </w:rPr>
        <w:t>比赛场地的四周环绕着边界线，由两条长的边线和两条底线组成</w:t>
      </w:r>
      <w:r>
        <w:rPr>
          <w:rFonts w:hint="eastAsia" w:ascii="仿宋" w:hAnsi="仿宋" w:eastAsia="仿宋"/>
          <w:sz w:val="32"/>
          <w:szCs w:val="32"/>
        </w:rPr>
        <w:t>，界线宽度不少于1</w:t>
      </w:r>
      <w:r>
        <w:rPr>
          <w:rFonts w:ascii="仿宋" w:hAnsi="仿宋" w:eastAsia="仿宋"/>
          <w:sz w:val="32"/>
          <w:szCs w:val="32"/>
        </w:rPr>
        <w:t>2</w:t>
      </w:r>
      <w:r>
        <w:rPr>
          <w:rFonts w:hint="eastAsia" w:ascii="仿宋" w:hAnsi="仿宋" w:eastAsia="仿宋"/>
          <w:sz w:val="32"/>
          <w:szCs w:val="32"/>
        </w:rPr>
        <w:t>公分</w:t>
      </w:r>
      <w:r>
        <w:rPr>
          <w:rFonts w:ascii="仿宋" w:hAnsi="仿宋" w:eastAsia="仿宋"/>
          <w:sz w:val="32"/>
          <w:szCs w:val="32"/>
        </w:rPr>
        <w:t>。得分线是分隔中心区域和得分区域的线</w:t>
      </w:r>
      <w:r>
        <w:rPr>
          <w:rFonts w:hint="eastAsia" w:ascii="仿宋" w:hAnsi="仿宋" w:eastAsia="仿宋"/>
          <w:sz w:val="32"/>
          <w:szCs w:val="32"/>
        </w:rPr>
        <w:t>。</w:t>
      </w:r>
      <w:r>
        <w:rPr>
          <w:rFonts w:ascii="仿宋" w:hAnsi="仿宋" w:eastAsia="仿宋"/>
          <w:sz w:val="32"/>
          <w:szCs w:val="32"/>
        </w:rPr>
        <w:t>砖点是中心区中两条一米线的交叉点，它与得分线间相隔</w:t>
      </w:r>
      <w:r>
        <w:rPr>
          <w:rFonts w:hint="eastAsia" w:ascii="仿宋" w:hAnsi="仿宋" w:eastAsia="仿宋"/>
          <w:sz w:val="32"/>
          <w:szCs w:val="32"/>
        </w:rPr>
        <w:t>1</w:t>
      </w:r>
      <w:r>
        <w:rPr>
          <w:rFonts w:ascii="仿宋" w:hAnsi="仿宋" w:eastAsia="仿宋"/>
          <w:sz w:val="32"/>
          <w:szCs w:val="32"/>
        </w:rPr>
        <w:t>8</w:t>
      </w:r>
      <w:r>
        <w:rPr>
          <w:rFonts w:hint="eastAsia" w:ascii="仿宋" w:hAnsi="仿宋" w:eastAsia="仿宋"/>
          <w:sz w:val="32"/>
          <w:szCs w:val="32"/>
        </w:rPr>
        <w:t>米</w:t>
      </w:r>
      <w:r>
        <w:rPr>
          <w:rFonts w:ascii="仿宋" w:hAnsi="仿宋" w:eastAsia="仿宋"/>
          <w:sz w:val="32"/>
          <w:szCs w:val="32"/>
        </w:rPr>
        <w:t>，位于两条边线的中间。</w:t>
      </w:r>
      <w:r>
        <w:rPr>
          <w:rFonts w:hint="eastAsia" w:ascii="仿宋" w:hAnsi="仿宋" w:eastAsia="仿宋"/>
          <w:sz w:val="32"/>
          <w:szCs w:val="32"/>
        </w:rPr>
        <w:t>八个色彩鲜艳的柔性物体（如塑料角标）标记中心区域和得分区域的角落。</w:t>
      </w:r>
    </w:p>
    <w:p>
      <w:pPr>
        <w:pStyle w:val="8"/>
        <w:numPr>
          <w:ilvl w:val="0"/>
          <w:numId w:val="2"/>
        </w:numPr>
        <w:ind w:left="0" w:leftChars="0" w:firstLine="420" w:firstLineChars="0"/>
        <w:rPr>
          <w:rFonts w:ascii="仿宋" w:hAnsi="仿宋" w:eastAsia="仿宋"/>
          <w:sz w:val="32"/>
          <w:szCs w:val="32"/>
        </w:rPr>
      </w:pPr>
      <w:r>
        <w:rPr>
          <w:rFonts w:hint="eastAsia" w:ascii="仿宋" w:hAnsi="仿宋" w:eastAsia="仿宋"/>
          <w:sz w:val="32"/>
          <w:szCs w:val="32"/>
        </w:rPr>
        <w:t>场地四周：环绕比赛场四周至少要有</w:t>
      </w:r>
      <w:r>
        <w:rPr>
          <w:rFonts w:ascii="仿宋" w:hAnsi="仿宋" w:eastAsia="仿宋"/>
          <w:sz w:val="32"/>
          <w:szCs w:val="32"/>
        </w:rPr>
        <w:t>3</w:t>
      </w:r>
      <w:r>
        <w:rPr>
          <w:rFonts w:hint="eastAsia" w:ascii="仿宋" w:hAnsi="仿宋" w:eastAsia="仿宋"/>
          <w:sz w:val="32"/>
          <w:szCs w:val="32"/>
        </w:rPr>
        <w:t>米宽的缓冲区域。</w:t>
      </w:r>
    </w:p>
    <w:p>
      <w:pPr>
        <w:pStyle w:val="8"/>
        <w:widowControl w:val="0"/>
        <w:numPr>
          <w:ilvl w:val="0"/>
          <w:numId w:val="0"/>
        </w:numPr>
        <w:jc w:val="both"/>
        <w:rPr>
          <w:rFonts w:hint="eastAsia" w:ascii="仿宋" w:hAnsi="仿宋" w:eastAsia="仿宋"/>
          <w:sz w:val="32"/>
          <w:szCs w:val="32"/>
        </w:rPr>
      </w:pPr>
      <w:r>
        <w:drawing>
          <wp:anchor distT="0" distB="0" distL="114300" distR="114300" simplePos="0" relativeHeight="251660288" behindDoc="0" locked="0" layoutInCell="1" allowOverlap="1">
            <wp:simplePos x="0" y="0"/>
            <wp:positionH relativeFrom="column">
              <wp:posOffset>198120</wp:posOffset>
            </wp:positionH>
            <wp:positionV relativeFrom="paragraph">
              <wp:posOffset>198120</wp:posOffset>
            </wp:positionV>
            <wp:extent cx="5191125" cy="3076575"/>
            <wp:effectExtent l="0" t="0" r="5715" b="190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5191125" cy="3076575"/>
                    </a:xfrm>
                    <a:prstGeom prst="rect">
                      <a:avLst/>
                    </a:prstGeom>
                    <a:noFill/>
                    <a:ln>
                      <a:noFill/>
                    </a:ln>
                  </pic:spPr>
                </pic:pic>
              </a:graphicData>
            </a:graphic>
          </wp:anchor>
        </w:drawing>
      </w:r>
    </w:p>
    <w:p>
      <w:pPr>
        <w:pStyle w:val="8"/>
        <w:widowControl w:val="0"/>
        <w:numPr>
          <w:ilvl w:val="0"/>
          <w:numId w:val="0"/>
        </w:numPr>
        <w:jc w:val="both"/>
        <w:rPr>
          <w:rFonts w:hint="eastAsia" w:ascii="仿宋" w:hAnsi="仿宋" w:eastAsia="仿宋"/>
          <w:sz w:val="32"/>
          <w:szCs w:val="32"/>
        </w:rPr>
      </w:pPr>
    </w:p>
    <w:p>
      <w:pPr>
        <w:pStyle w:val="8"/>
        <w:widowControl w:val="0"/>
        <w:numPr>
          <w:ilvl w:val="0"/>
          <w:numId w:val="0"/>
        </w:numPr>
        <w:jc w:val="both"/>
        <w:rPr>
          <w:rFonts w:hint="eastAsia" w:ascii="仿宋" w:hAnsi="仿宋" w:eastAsia="仿宋"/>
          <w:sz w:val="32"/>
          <w:szCs w:val="32"/>
        </w:rPr>
      </w:pPr>
    </w:p>
    <w:p>
      <w:pPr>
        <w:pStyle w:val="8"/>
        <w:widowControl w:val="0"/>
        <w:numPr>
          <w:ilvl w:val="0"/>
          <w:numId w:val="0"/>
        </w:numPr>
        <w:jc w:val="both"/>
        <w:rPr>
          <w:rFonts w:hint="eastAsia" w:ascii="仿宋" w:hAnsi="仿宋" w:eastAsia="仿宋"/>
          <w:sz w:val="32"/>
          <w:szCs w:val="32"/>
        </w:rPr>
      </w:pPr>
    </w:p>
    <w:p>
      <w:pPr>
        <w:pStyle w:val="8"/>
        <w:widowControl w:val="0"/>
        <w:numPr>
          <w:ilvl w:val="0"/>
          <w:numId w:val="0"/>
        </w:numPr>
        <w:jc w:val="both"/>
        <w:rPr>
          <w:rFonts w:hint="eastAsia" w:ascii="仿宋" w:hAnsi="仿宋" w:eastAsia="仿宋"/>
          <w:sz w:val="32"/>
          <w:szCs w:val="32"/>
        </w:rPr>
      </w:pPr>
    </w:p>
    <w:p>
      <w:pPr>
        <w:pStyle w:val="8"/>
        <w:widowControl w:val="0"/>
        <w:numPr>
          <w:ilvl w:val="0"/>
          <w:numId w:val="0"/>
        </w:numPr>
        <w:jc w:val="both"/>
        <w:rPr>
          <w:rFonts w:hint="eastAsia" w:ascii="仿宋" w:hAnsi="仿宋" w:eastAsia="仿宋"/>
          <w:sz w:val="32"/>
          <w:szCs w:val="32"/>
        </w:rPr>
      </w:pPr>
    </w:p>
    <w:p>
      <w:pPr>
        <w:pStyle w:val="8"/>
        <w:widowControl w:val="0"/>
        <w:numPr>
          <w:ilvl w:val="0"/>
          <w:numId w:val="0"/>
        </w:numPr>
        <w:jc w:val="both"/>
        <w:rPr>
          <w:rFonts w:hint="eastAsia" w:ascii="仿宋" w:hAnsi="仿宋" w:eastAsia="仿宋"/>
          <w:sz w:val="32"/>
          <w:szCs w:val="32"/>
        </w:rPr>
      </w:pPr>
    </w:p>
    <w:p>
      <w:pPr>
        <w:pStyle w:val="8"/>
        <w:widowControl w:val="0"/>
        <w:numPr>
          <w:ilvl w:val="0"/>
          <w:numId w:val="0"/>
        </w:numPr>
        <w:jc w:val="both"/>
        <w:rPr>
          <w:rFonts w:hint="eastAsia" w:ascii="仿宋" w:hAnsi="仿宋" w:eastAsia="仿宋"/>
          <w:sz w:val="32"/>
          <w:szCs w:val="32"/>
        </w:rPr>
      </w:pPr>
    </w:p>
    <w:p>
      <w:pPr>
        <w:pStyle w:val="8"/>
        <w:widowControl w:val="0"/>
        <w:numPr>
          <w:ilvl w:val="0"/>
          <w:numId w:val="0"/>
        </w:numPr>
        <w:jc w:val="both"/>
        <w:rPr>
          <w:rFonts w:hint="eastAsia" w:ascii="仿宋" w:hAnsi="仿宋" w:eastAsia="仿宋"/>
          <w:sz w:val="32"/>
          <w:szCs w:val="32"/>
        </w:rPr>
      </w:pPr>
    </w:p>
    <w:p>
      <w:pPr>
        <w:pStyle w:val="8"/>
        <w:widowControl/>
        <w:numPr>
          <w:ilvl w:val="0"/>
          <w:numId w:val="1"/>
        </w:numPr>
        <w:ind w:firstLineChars="0"/>
        <w:jc w:val="left"/>
        <w:rPr>
          <w:rFonts w:hint="eastAsia" w:ascii="仿宋" w:hAnsi="仿宋" w:eastAsia="仿宋"/>
          <w:sz w:val="32"/>
          <w:szCs w:val="32"/>
        </w:rPr>
      </w:pPr>
      <w:r>
        <w:rPr>
          <w:rFonts w:hint="eastAsia" w:ascii="仿宋" w:hAnsi="仿宋" w:eastAsia="仿宋"/>
          <w:sz w:val="32"/>
          <w:szCs w:val="32"/>
        </w:rPr>
        <w:t>飞盘器材标准</w:t>
      </w:r>
    </w:p>
    <w:p>
      <w:pPr>
        <w:pStyle w:val="8"/>
        <w:ind w:firstLine="640"/>
        <w:rPr>
          <w:rFonts w:ascii="仿宋" w:hAnsi="仿宋" w:eastAsia="仿宋"/>
          <w:b/>
          <w:bCs/>
          <w:sz w:val="32"/>
          <w:szCs w:val="32"/>
        </w:rPr>
      </w:pPr>
      <w:r>
        <w:rPr>
          <w:rFonts w:hint="eastAsia" w:ascii="仿宋" w:hAnsi="仿宋" w:eastAsia="仿宋"/>
          <w:sz w:val="32"/>
          <w:szCs w:val="32"/>
        </w:rPr>
        <w:t>在全国飞盘运动推广委员会主办的各级各类飞盘比赛中使用的飞盘器材须获得世界飞盘联合会认证的飞盘器材。</w:t>
      </w:r>
    </w:p>
    <w:p>
      <w:pPr>
        <w:pStyle w:val="8"/>
        <w:ind w:firstLine="640"/>
        <w:rPr>
          <w:rFonts w:ascii="仿宋" w:hAnsi="仿宋" w:eastAsia="仿宋"/>
          <w:sz w:val="32"/>
          <w:szCs w:val="32"/>
        </w:rPr>
      </w:pPr>
      <w:r>
        <w:rPr>
          <w:rFonts w:hint="eastAsia" w:ascii="仿宋" w:hAnsi="仿宋" w:eastAsia="仿宋"/>
          <w:sz w:val="32"/>
          <w:szCs w:val="32"/>
        </w:rPr>
        <w:t>比赛飞盘是由世界飞盘联合会认证的1</w:t>
      </w:r>
      <w:r>
        <w:rPr>
          <w:rFonts w:ascii="仿宋" w:hAnsi="仿宋" w:eastAsia="仿宋"/>
          <w:sz w:val="32"/>
          <w:szCs w:val="32"/>
        </w:rPr>
        <w:t>75</w:t>
      </w:r>
      <w:r>
        <w:rPr>
          <w:rFonts w:hint="eastAsia" w:ascii="仿宋" w:hAnsi="仿宋" w:eastAsia="仿宋"/>
          <w:sz w:val="32"/>
          <w:szCs w:val="32"/>
        </w:rPr>
        <w:t>克团队飞盘。飞盘的重量为1</w:t>
      </w:r>
      <w:r>
        <w:rPr>
          <w:rFonts w:ascii="仿宋" w:hAnsi="仿宋" w:eastAsia="仿宋"/>
          <w:sz w:val="32"/>
          <w:szCs w:val="32"/>
        </w:rPr>
        <w:t>72</w:t>
      </w:r>
      <w:r>
        <w:rPr>
          <w:rFonts w:hint="eastAsia" w:ascii="仿宋" w:hAnsi="仿宋" w:eastAsia="仿宋"/>
          <w:sz w:val="32"/>
          <w:szCs w:val="32"/>
        </w:rPr>
        <w:t>至</w:t>
      </w:r>
      <w:r>
        <w:rPr>
          <w:rFonts w:ascii="仿宋" w:hAnsi="仿宋" w:eastAsia="仿宋"/>
          <w:sz w:val="32"/>
          <w:szCs w:val="32"/>
        </w:rPr>
        <w:t>178</w:t>
      </w:r>
      <w:r>
        <w:rPr>
          <w:rFonts w:hint="eastAsia" w:ascii="仿宋" w:hAnsi="仿宋" w:eastAsia="仿宋"/>
          <w:sz w:val="32"/>
          <w:szCs w:val="32"/>
        </w:rPr>
        <w:t>克，直径为2</w:t>
      </w:r>
      <w:r>
        <w:rPr>
          <w:rFonts w:ascii="仿宋" w:hAnsi="仿宋" w:eastAsia="仿宋"/>
          <w:sz w:val="32"/>
          <w:szCs w:val="32"/>
        </w:rPr>
        <w:t>71</w:t>
      </w:r>
      <w:r>
        <w:rPr>
          <w:rFonts w:hint="eastAsia" w:ascii="仿宋" w:hAnsi="仿宋" w:eastAsia="仿宋"/>
          <w:sz w:val="32"/>
          <w:szCs w:val="32"/>
        </w:rPr>
        <w:t>至2</w:t>
      </w:r>
      <w:r>
        <w:rPr>
          <w:rFonts w:ascii="仿宋" w:hAnsi="仿宋" w:eastAsia="仿宋"/>
          <w:sz w:val="32"/>
          <w:szCs w:val="32"/>
        </w:rPr>
        <w:t>77</w:t>
      </w:r>
      <w:r>
        <w:rPr>
          <w:rFonts w:hint="eastAsia" w:ascii="仿宋" w:hAnsi="仿宋" w:eastAsia="仿宋"/>
          <w:sz w:val="32"/>
          <w:szCs w:val="32"/>
        </w:rPr>
        <w:t>毫米，高度为3</w:t>
      </w:r>
      <w:r>
        <w:rPr>
          <w:rFonts w:ascii="仿宋" w:hAnsi="仿宋" w:eastAsia="仿宋"/>
          <w:sz w:val="32"/>
          <w:szCs w:val="32"/>
        </w:rPr>
        <w:t>0</w:t>
      </w:r>
      <w:r>
        <w:rPr>
          <w:rFonts w:hint="eastAsia" w:ascii="仿宋" w:hAnsi="仿宋" w:eastAsia="仿宋"/>
          <w:sz w:val="32"/>
          <w:szCs w:val="32"/>
        </w:rPr>
        <w:t>至3</w:t>
      </w:r>
      <w:r>
        <w:rPr>
          <w:rFonts w:ascii="仿宋" w:hAnsi="仿宋" w:eastAsia="仿宋"/>
          <w:sz w:val="32"/>
          <w:szCs w:val="32"/>
        </w:rPr>
        <w:t>4</w:t>
      </w:r>
      <w:r>
        <w:rPr>
          <w:rFonts w:hint="eastAsia" w:ascii="仿宋" w:hAnsi="仿宋" w:eastAsia="仿宋"/>
          <w:sz w:val="32"/>
          <w:szCs w:val="32"/>
        </w:rPr>
        <w:t>毫米。飞盘图案商标需字迹清晰图案端正。</w:t>
      </w:r>
      <w:r>
        <w:rPr>
          <w:rFonts w:hint="eastAsia" w:ascii="仿宋" w:hAnsi="仿宋" w:eastAsia="仿宋"/>
          <w:sz w:val="32"/>
          <w:szCs w:val="32"/>
        </w:rPr>
        <w:drawing>
          <wp:inline distT="0" distB="0" distL="0" distR="0">
            <wp:extent cx="5273040" cy="478536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3040" cy="4785360"/>
                    </a:xfrm>
                    <a:prstGeom prst="rect">
                      <a:avLst/>
                    </a:prstGeom>
                    <a:noFill/>
                    <a:ln>
                      <a:noFill/>
                    </a:ln>
                  </pic:spPr>
                </pic:pic>
              </a:graphicData>
            </a:graphic>
          </wp:inline>
        </w:drawing>
      </w:r>
    </w:p>
    <w:p>
      <w:pPr>
        <w:pStyle w:val="8"/>
        <w:numPr>
          <w:ilvl w:val="0"/>
          <w:numId w:val="1"/>
        </w:numPr>
        <w:ind w:firstLineChars="0"/>
        <w:rPr>
          <w:rFonts w:hint="eastAsia" w:ascii="仿宋" w:hAnsi="仿宋" w:eastAsia="仿宋"/>
          <w:sz w:val="32"/>
          <w:szCs w:val="32"/>
        </w:rPr>
      </w:pPr>
      <w:r>
        <w:rPr>
          <w:rFonts w:hint="eastAsia" w:ascii="仿宋" w:hAnsi="仿宋" w:eastAsia="仿宋"/>
          <w:sz w:val="32"/>
          <w:szCs w:val="32"/>
        </w:rPr>
        <w:t>《标准》自公布日期实施，</w:t>
      </w:r>
      <w:r>
        <w:rPr>
          <w:rFonts w:hint="eastAsia" w:ascii="Times New Roman" w:hAnsi="Times New Roman" w:eastAsia="仿宋_GB2312" w:cs="Times New Roman"/>
          <w:sz w:val="32"/>
          <w:szCs w:val="32"/>
        </w:rPr>
        <w:t>由</w:t>
      </w:r>
      <w:r>
        <w:rPr>
          <w:rFonts w:hint="eastAsia" w:ascii="仿宋" w:hAnsi="仿宋" w:eastAsia="仿宋" w:cs="仿宋"/>
          <w:sz w:val="32"/>
          <w:szCs w:val="32"/>
        </w:rPr>
        <w:t>国家体育总局社会体育指导</w:t>
      </w:r>
      <w:r>
        <w:rPr>
          <w:rFonts w:hint="eastAsia" w:ascii="仿宋" w:hAnsi="仿宋" w:eastAsia="仿宋" w:cs="仿宋"/>
          <w:sz w:val="32"/>
          <w:szCs w:val="32"/>
          <w:lang w:val="en-US" w:eastAsia="zh-CN"/>
        </w:rPr>
        <w:t>中心</w:t>
      </w:r>
      <w:r>
        <w:rPr>
          <w:rFonts w:hint="eastAsia" w:ascii="仿宋" w:hAnsi="仿宋" w:eastAsia="仿宋" w:cs="仿宋"/>
          <w:sz w:val="32"/>
          <w:szCs w:val="32"/>
          <w:lang w:eastAsia="zh-CN"/>
        </w:rPr>
        <w:t>、</w:t>
      </w:r>
      <w:r>
        <w:rPr>
          <w:rFonts w:hint="eastAsia" w:ascii="Times New Roman" w:hAnsi="Times New Roman" w:eastAsia="仿宋_GB2312" w:cs="Times New Roman"/>
          <w:sz w:val="32"/>
          <w:szCs w:val="32"/>
        </w:rPr>
        <w:t>全国飞盘运动推广委员会负责解释</w:t>
      </w:r>
      <w:r>
        <w:rPr>
          <w:rFonts w:hint="eastAsia" w:ascii="仿宋" w:hAnsi="仿宋" w:eastAsia="仿宋"/>
          <w:sz w:val="32"/>
          <w:szCs w:val="32"/>
        </w:rPr>
        <w:t>。</w:t>
      </w:r>
    </w:p>
    <w:p>
      <w:pPr>
        <w:pStyle w:val="8"/>
        <w:ind w:left="1140" w:firstLine="0" w:firstLineChars="0"/>
        <w:rPr>
          <w:rFonts w:hint="eastAsia"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4B8705"/>
    <w:multiLevelType w:val="singleLevel"/>
    <w:tmpl w:val="DA4B8705"/>
    <w:lvl w:ilvl="0" w:tentative="0">
      <w:start w:val="1"/>
      <w:numFmt w:val="chineseCounting"/>
      <w:suff w:val="nothing"/>
      <w:lvlText w:val="（%1）"/>
      <w:lvlJc w:val="left"/>
      <w:pPr>
        <w:ind w:left="0" w:firstLine="420"/>
      </w:pPr>
      <w:rPr>
        <w:rFonts w:hint="eastAsia"/>
      </w:rPr>
    </w:lvl>
  </w:abstractNum>
  <w:abstractNum w:abstractNumId="1">
    <w:nsid w:val="2C3B0638"/>
    <w:multiLevelType w:val="multilevel"/>
    <w:tmpl w:val="2C3B0638"/>
    <w:lvl w:ilvl="0" w:tentative="0">
      <w:start w:val="1"/>
      <w:numFmt w:val="japaneseCounting"/>
      <w:lvlText w:val="第%1条"/>
      <w:lvlJc w:val="left"/>
      <w:pPr>
        <w:ind w:left="1140" w:hanging="114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4YmFmZDYzMjU2YTk2MzI4ZWQzY2NlNzM1MGUyYTgifQ=="/>
  </w:docVars>
  <w:rsids>
    <w:rsidRoot w:val="00EA0416"/>
    <w:rsid w:val="000D69DF"/>
    <w:rsid w:val="00107B9C"/>
    <w:rsid w:val="002A6F06"/>
    <w:rsid w:val="002E6073"/>
    <w:rsid w:val="00387E6E"/>
    <w:rsid w:val="003A3733"/>
    <w:rsid w:val="004A2DD0"/>
    <w:rsid w:val="0055686D"/>
    <w:rsid w:val="00574738"/>
    <w:rsid w:val="00637015"/>
    <w:rsid w:val="006D6625"/>
    <w:rsid w:val="007146AE"/>
    <w:rsid w:val="007B514A"/>
    <w:rsid w:val="00993849"/>
    <w:rsid w:val="00A65319"/>
    <w:rsid w:val="00AC1D15"/>
    <w:rsid w:val="00AE0195"/>
    <w:rsid w:val="00B43EFE"/>
    <w:rsid w:val="00C260DB"/>
    <w:rsid w:val="00C30C07"/>
    <w:rsid w:val="00C4543F"/>
    <w:rsid w:val="00C64EFE"/>
    <w:rsid w:val="00E036A8"/>
    <w:rsid w:val="00E71132"/>
    <w:rsid w:val="00EA0416"/>
    <w:rsid w:val="00EE0D29"/>
    <w:rsid w:val="00F771BB"/>
    <w:rsid w:val="3880684C"/>
    <w:rsid w:val="4DE26BE7"/>
    <w:rsid w:val="7C1A1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596</Words>
  <Characters>615</Characters>
  <Lines>4</Lines>
  <Paragraphs>1</Paragraphs>
  <TotalTime>0</TotalTime>
  <ScaleCrop>false</ScaleCrop>
  <LinksUpToDate>false</LinksUpToDate>
  <CharactersWithSpaces>616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2022-07-01T07:33:00Z</dcterms:created>
  <dc:creator>薛 志行</dc:creator>
  <cp:lastModifiedBy>86137</cp:lastModifiedBy>
  <dcterms:modified xsi:type="dcterms:W3CDTF">2022-08-10T06:49:42Z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852DD100500845ECA2E3D6B0754B2F1D</vt:lpwstr>
  </property>
</Properties>
</file>