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体育总局水上中心关于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省市主管单位探望慰问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队人员管理办法（试行）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为进一步完善省市主管单位探望慰问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水上项目各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集训</w:t>
      </w:r>
      <w:r>
        <w:rPr>
          <w:rFonts w:hint="eastAsia" w:ascii="仿宋" w:hAnsi="仿宋" w:eastAsia="仿宋" w:cs="仿宋"/>
          <w:sz w:val="32"/>
          <w:szCs w:val="32"/>
        </w:rPr>
        <w:t>队相关人员制度，加强队伍管理，防范兴奋剂风险，制定本管理办法。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一、探望慰问对象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水上项目</w:t>
      </w:r>
      <w:r>
        <w:rPr>
          <w:rFonts w:hint="eastAsia" w:ascii="仿宋" w:hAnsi="仿宋" w:eastAsia="仿宋" w:cs="仿宋"/>
          <w:sz w:val="32"/>
          <w:szCs w:val="32"/>
        </w:rPr>
        <w:t>国家队集训名单内所有人员。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二、探望慰问程序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由省市主管部门提前至少1周填写《探望慰问信息表》（附件1），加盖公章后发至队伍，经队伍研究同意后，规定内人员可由国家队管理人员陪同进行探望慰问。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三、探望慰问要求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为不影响国家队日常训练，探望慰问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必须经申请同意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二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探望慰问地点仅限于国家队常驻地力量房、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水上训练的陆地范围</w:t>
      </w:r>
      <w:r>
        <w:rPr>
          <w:rFonts w:hint="eastAsia" w:ascii="仿宋" w:hAnsi="仿宋" w:eastAsia="仿宋" w:cs="仿宋"/>
          <w:sz w:val="32"/>
          <w:szCs w:val="32"/>
        </w:rPr>
        <w:t>等训练场所，严禁进入驻地住宿、餐厅、康复理疗等场所；严禁带运动员离开常驻地训练基地。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三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探望慰问人员原则上不得超过5人。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四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探望慰问人员应遵守反兴奋剂相关要求，不得向国家队人员提供任何食品、药品、营养品、护肤化妆品、保健品等严禁品。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五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探望慰问人员应遵守常驻地各项管理规定，注意言谈举止，保持自身良好形象。</w:t>
      </w:r>
    </w:p>
    <w:p>
      <w:pPr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六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探望慰问期间不得通过私自拍照、录像等方式泄露国家队训练相关信息，遵守国家体育总局《国家队自媒体使用规定》。</w:t>
      </w:r>
    </w:p>
    <w:p>
      <w:pPr>
        <w:ind w:firstLine="60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七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生病尤其传染病感染期人员，请自觉不到国家队探望。</w:t>
      </w:r>
    </w:p>
    <w:p>
      <w:pPr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四、不予探望慰问的情况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探望慰问对象因违反相关规章制度被处罚期间。</w:t>
      </w:r>
    </w:p>
    <w:p>
      <w:pPr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经队伍研究决定的不适宜探望慰问的任何情况。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五、特殊情况的探望慰问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若探望慰问对象因病住院，则探望慰问地点改为医院，其余相关要求不变。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六、本管理办法自下发之日起执行。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体育总局水上中心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2024年6月7日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探望慰问信息表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单位：（盖章）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 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20"/>
        <w:gridCol w:w="1022"/>
        <w:gridCol w:w="1603"/>
        <w:gridCol w:w="1844"/>
        <w:gridCol w:w="2108"/>
        <w:gridCol w:w="1777"/>
        <w:gridCol w:w="177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探望慰问对象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探望慰问时间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开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填表人：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OThhYmMzNTNiMzA2Y2IxODU2M2U4NGQ1MWQ4NmYifQ=="/>
  </w:docVars>
  <w:rsids>
    <w:rsidRoot w:val="00154441"/>
    <w:rsid w:val="00011149"/>
    <w:rsid w:val="00092E93"/>
    <w:rsid w:val="00154441"/>
    <w:rsid w:val="00176B42"/>
    <w:rsid w:val="001910DC"/>
    <w:rsid w:val="001E6ADF"/>
    <w:rsid w:val="00210ABA"/>
    <w:rsid w:val="002443A8"/>
    <w:rsid w:val="003D6B6F"/>
    <w:rsid w:val="003F20F1"/>
    <w:rsid w:val="003F2871"/>
    <w:rsid w:val="003F543A"/>
    <w:rsid w:val="004E675D"/>
    <w:rsid w:val="005729C6"/>
    <w:rsid w:val="00630A0D"/>
    <w:rsid w:val="006F617F"/>
    <w:rsid w:val="0075603E"/>
    <w:rsid w:val="007E0893"/>
    <w:rsid w:val="00860484"/>
    <w:rsid w:val="00955850"/>
    <w:rsid w:val="00A267B6"/>
    <w:rsid w:val="00A81324"/>
    <w:rsid w:val="00B669D3"/>
    <w:rsid w:val="00BA5436"/>
    <w:rsid w:val="00C0479A"/>
    <w:rsid w:val="00C122C6"/>
    <w:rsid w:val="00C90882"/>
    <w:rsid w:val="00C943E7"/>
    <w:rsid w:val="00CF2E5A"/>
    <w:rsid w:val="00D571F1"/>
    <w:rsid w:val="00DC7E9F"/>
    <w:rsid w:val="00DE2E24"/>
    <w:rsid w:val="00DE6125"/>
    <w:rsid w:val="00DE7AC9"/>
    <w:rsid w:val="00E23581"/>
    <w:rsid w:val="00F26F34"/>
    <w:rsid w:val="00FA6566"/>
    <w:rsid w:val="1F5D044B"/>
    <w:rsid w:val="258918A3"/>
    <w:rsid w:val="3A6B638D"/>
    <w:rsid w:val="43255A95"/>
    <w:rsid w:val="45EA5D18"/>
    <w:rsid w:val="480446B1"/>
    <w:rsid w:val="7A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684</Characters>
  <Lines>6</Lines>
  <Paragraphs>1</Paragraphs>
  <TotalTime>1</TotalTime>
  <ScaleCrop>false</ScaleCrop>
  <LinksUpToDate>false</LinksUpToDate>
  <CharactersWithSpaces>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2023-01-06T03:02:00Z</dcterms:created>
  <dc:creator>SEN BEN</dc:creator>
  <cp:lastModifiedBy>国保部</cp:lastModifiedBy>
  <cp:lastPrinted>2024-06-07T05:31:02Z</cp:lastPrinted>
  <dcterms:modified xsi:type="dcterms:W3CDTF">2024-06-07T05:31:09Z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29265B61E1F349EFA243923F2A564FF0_13</vt:lpwstr>
  </property>
</Properties>
</file>