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宋体" w:hAnsi="宋体" w:eastAsia="宋体" w:cs="宋体"/>
          <w:b/>
          <w:sz w:val="36"/>
          <w:szCs w:val="36"/>
        </w:rPr>
      </w:pPr>
      <w:bookmarkStart w:id="0" w:name="_Toc594733671"/>
      <w:r>
        <w:rPr>
          <w:rFonts w:hint="eastAsia" w:ascii="宋体" w:hAnsi="宋体" w:eastAsia="宋体" w:cs="宋体"/>
          <w:b/>
          <w:sz w:val="36"/>
          <w:szCs w:val="36"/>
        </w:rPr>
        <w:t>国家体育总局水上运动管理中心</w:t>
      </w:r>
    </w:p>
    <w:p>
      <w:pPr>
        <w:jc w:val="center"/>
        <w:outlineLvl w:val="0"/>
        <w:rPr>
          <w:rFonts w:ascii="Arial" w:hAnsi="仿宋" w:eastAsia="宋体"/>
          <w:b/>
          <w:sz w:val="32"/>
          <w:szCs w:val="32"/>
        </w:rPr>
      </w:pPr>
      <w:bookmarkStart w:id="12" w:name="_GoBack"/>
      <w:r>
        <w:rPr>
          <w:rFonts w:hint="eastAsia" w:ascii="宋体" w:hAnsi="宋体" w:eastAsia="宋体" w:cs="宋体"/>
          <w:b/>
          <w:sz w:val="36"/>
          <w:szCs w:val="36"/>
        </w:rPr>
        <w:t>冲浪比赛办赛指南</w:t>
      </w:r>
      <w:bookmarkEnd w:id="0"/>
      <w:bookmarkEnd w:id="12"/>
    </w:p>
    <w:p>
      <w:pPr>
        <w:spacing w:line="382" w:lineRule="auto"/>
        <w:ind w:firstLine="559"/>
        <w:jc w:val="center"/>
        <w:rPr>
          <w:rFonts w:ascii="Arial" w:hAnsi="仿宋" w:eastAsia="宋体"/>
          <w:b/>
          <w:sz w:val="32"/>
          <w:szCs w:val="32"/>
        </w:rPr>
      </w:pPr>
      <w:r>
        <w:rPr>
          <w:rFonts w:hint="eastAsia" w:ascii="Arial" w:hAnsi="仿宋" w:eastAsia="宋体"/>
          <w:b/>
          <w:sz w:val="32"/>
          <w:szCs w:val="32"/>
        </w:rPr>
        <w:t>第一章  总则</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第一条 根据《体育赛事活动管理办法》、《关于进一步加强体育赛事活动监督管理的意见》，为规范全国各类冲浪活动的开展，提升赛事活动办赛服务水平，加强冲浪赛事活动监督管理，提升赛事活动的标准化、规范化运行程序，促进冲浪项目健康发展，特制定本指南。</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第二条 本指南所指的冲浪赛事活动，是指在我国境内举办的各类冲浪赛事活动。具体包括：</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一类赛事：世界、国际、亚洲等由国际单项体育组织主办的冲浪赛事、活动。</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二类赛事：赛事名称中包含"全国、中国、中华、国际"的由国家体育总局水上运动管理中心主办的赛事或由国家体育总局水上运动管理中心与地方共同主办的其他各类品牌性冲浪赛事、活动。</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三类赛事：由国家体育总局水上运动管理中心授权地方政府或体育管理机构举办的冲浪赛事、活动。</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四类赛事：由地方政府或体育管理机构自己主办的冲浪赛事、活动。</w:t>
      </w:r>
    </w:p>
    <w:p>
      <w:pPr>
        <w:spacing w:line="382" w:lineRule="auto"/>
        <w:ind w:firstLine="559"/>
        <w:rPr>
          <w:rFonts w:ascii="仿宋" w:hAnsi="仿宋" w:eastAsia="仿宋" w:cs="仿宋"/>
          <w:bCs/>
          <w:sz w:val="30"/>
          <w:szCs w:val="30"/>
        </w:rPr>
      </w:pPr>
      <w:r>
        <w:rPr>
          <w:rFonts w:hint="eastAsia" w:ascii="仿宋" w:hAnsi="仿宋" w:eastAsia="仿宋" w:cs="仿宋"/>
          <w:bCs/>
          <w:sz w:val="30"/>
          <w:szCs w:val="30"/>
        </w:rPr>
        <w:t>五类赛事：由社会民间单位及个人自行组织举办的冲浪赛事、活动。</w:t>
      </w:r>
    </w:p>
    <w:p>
      <w:pPr>
        <w:pStyle w:val="10"/>
        <w:tabs>
          <w:tab w:val="right" w:leader="dot" w:pos="8296"/>
        </w:tabs>
        <w:rPr>
          <w:rFonts w:ascii="仿宋" w:hAnsi="仿宋" w:eastAsia="仿宋" w:cs="仿宋"/>
          <w:sz w:val="30"/>
          <w:szCs w:val="30"/>
          <w:lang w:val="zh-CN"/>
        </w:rPr>
      </w:pPr>
    </w:p>
    <w:p>
      <w:pPr>
        <w:pStyle w:val="2"/>
        <w:spacing w:line="240" w:lineRule="auto"/>
        <w:jc w:val="center"/>
        <w:rPr>
          <w:rFonts w:ascii="仿宋" w:hAnsi="仿宋" w:eastAsia="仿宋" w:cs="仿宋"/>
          <w:sz w:val="30"/>
          <w:szCs w:val="30"/>
        </w:rPr>
      </w:pPr>
      <w:bookmarkStart w:id="1" w:name="_Toc9849"/>
      <w:r>
        <w:rPr>
          <w:rFonts w:hint="eastAsia" w:ascii="仿宋" w:hAnsi="仿宋" w:eastAsia="仿宋" w:cs="仿宋"/>
          <w:sz w:val="32"/>
          <w:szCs w:val="32"/>
        </w:rPr>
        <w:t>第二章 赛事主、承、协办单位基本要求</w:t>
      </w:r>
      <w:bookmarkEnd w:id="1"/>
    </w:p>
    <w:p>
      <w:pPr>
        <w:ind w:firstLine="600" w:firstLineChars="200"/>
        <w:jc w:val="left"/>
        <w:rPr>
          <w:rFonts w:ascii="仿宋" w:hAnsi="仿宋" w:eastAsia="仿宋" w:cs="仿宋"/>
          <w:sz w:val="30"/>
          <w:szCs w:val="30"/>
        </w:rPr>
      </w:pPr>
      <w:r>
        <w:rPr>
          <w:rFonts w:hint="eastAsia" w:ascii="仿宋" w:hAnsi="仿宋" w:eastAsia="仿宋" w:cs="仿宋"/>
          <w:sz w:val="30"/>
          <w:szCs w:val="30"/>
        </w:rPr>
        <w:t>第三条 主办单位一般由国际单项组织和我国的各级人民政府、各级体育主管部门、冲浪管理机构（包括冲浪项目管理中心和冲浪协会）担任。</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第四条 承办单位一般由各级体育主管部门、冲浪管理机构（包括冲浪项目管理中心和冲浪协会）和其他组织（经民政、工商注册的合法组织）担任。</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第五条 协办单位是指具有赛事运营资质和市场开发能力、能提供一定业务指导或者物质及人力支持、协助举办冲浪事活动的法人主体或个人。</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第六条 冲浪赛事活动的主办方、承办方、协办方应当遵守国家法律法规，维护社会公序良俗，严格执行冲浪行业规范，确保赛事活动安排，保障参与者的合法权益。</w:t>
      </w:r>
    </w:p>
    <w:p>
      <w:pPr>
        <w:ind w:firstLine="632" w:firstLineChars="200"/>
        <w:jc w:val="left"/>
        <w:outlineLvl w:val="1"/>
        <w:rPr>
          <w:rFonts w:ascii="仿宋" w:hAnsi="仿宋" w:eastAsia="仿宋" w:cs="仿宋"/>
          <w:color w:val="000000" w:themeColor="text1"/>
          <w:spacing w:val="-2"/>
          <w:sz w:val="32"/>
          <w:szCs w:val="32"/>
          <w14:textFill>
            <w14:solidFill>
              <w14:schemeClr w14:val="tx1"/>
            </w14:solidFill>
          </w14:textFill>
        </w:rPr>
      </w:pPr>
      <w:bookmarkStart w:id="2" w:name="_Toc1921284772"/>
      <w:r>
        <w:rPr>
          <w:rFonts w:hint="eastAsia" w:ascii="仿宋" w:hAnsi="仿宋" w:eastAsia="仿宋" w:cs="仿宋"/>
          <w:color w:val="000000" w:themeColor="text1"/>
          <w:spacing w:val="-2"/>
          <w:sz w:val="32"/>
          <w:szCs w:val="32"/>
          <w14:textFill>
            <w14:solidFill>
              <w14:schemeClr w14:val="tx1"/>
            </w14:solidFill>
          </w14:textFill>
        </w:rPr>
        <w:t>第七条 赛事活动的主办、承办、协办单位应严格按照《体育赛事活动管理办法》的相关规定规范使用赛事和活动名称。根据体规字﹝202</w:t>
      </w:r>
      <w:r>
        <w:rPr>
          <w:rFonts w:ascii="仿宋" w:hAnsi="仿宋" w:eastAsia="仿宋" w:cs="仿宋"/>
          <w:color w:val="000000" w:themeColor="text1"/>
          <w:spacing w:val="-2"/>
          <w:sz w:val="32"/>
          <w:szCs w:val="32"/>
          <w14:textFill>
            <w14:solidFill>
              <w14:schemeClr w14:val="tx1"/>
            </w14:solidFill>
          </w14:textFill>
        </w:rPr>
        <w:t>1</w:t>
      </w:r>
      <w:r>
        <w:rPr>
          <w:rFonts w:hint="eastAsia" w:ascii="仿宋" w:hAnsi="仿宋" w:eastAsia="仿宋" w:cs="仿宋"/>
          <w:color w:val="000000" w:themeColor="text1"/>
          <w:spacing w:val="-2"/>
          <w:sz w:val="32"/>
          <w:szCs w:val="32"/>
          <w14:textFill>
            <w14:solidFill>
              <w14:schemeClr w14:val="tx1"/>
            </w14:solidFill>
          </w14:textFill>
        </w:rPr>
        <w:t>﹞3号《关于进一步加强体育赛事活动安全监管服务的意见》落实安全责任。中央和国家机关及其事业单位、全国性社会组织主办或承办的国际性、全国性体育赛事活动，名称中可以使用“世界”“国际”“亚洲”“中国”“全国”“国家”等字样或具有类似含义的词汇，其他体育赛事活动不得使用与其相同或类似的名称。</w:t>
      </w:r>
    </w:p>
    <w:p>
      <w:pPr>
        <w:ind w:firstLine="632" w:firstLineChars="200"/>
        <w:jc w:val="left"/>
        <w:outlineLvl w:val="1"/>
        <w:rPr>
          <w:rFonts w:ascii="仿宋" w:hAnsi="仿宋" w:eastAsia="仿宋" w:cs="仿宋"/>
          <w:color w:val="000000" w:themeColor="text1"/>
          <w:spacing w:val="-2"/>
          <w:sz w:val="32"/>
          <w:szCs w:val="32"/>
          <w14:textFill>
            <w14:solidFill>
              <w14:schemeClr w14:val="tx1"/>
            </w14:solidFill>
          </w14:textFill>
        </w:rPr>
      </w:pPr>
    </w:p>
    <w:p>
      <w:pPr>
        <w:spacing w:line="382" w:lineRule="auto"/>
        <w:jc w:val="center"/>
        <w:outlineLvl w:val="1"/>
        <w:rPr>
          <w:rFonts w:ascii="仿宋" w:hAnsi="仿宋" w:eastAsia="仿宋" w:cs="仿宋"/>
          <w:b/>
          <w:bCs/>
          <w:color w:val="000000" w:themeColor="text1"/>
          <w:spacing w:val="-2"/>
          <w:sz w:val="32"/>
          <w:szCs w:val="32"/>
          <w14:textFill>
            <w14:solidFill>
              <w14:schemeClr w14:val="tx1"/>
            </w14:solidFill>
          </w14:textFill>
        </w:rPr>
      </w:pPr>
      <w:r>
        <w:rPr>
          <w:rFonts w:hint="eastAsia" w:ascii="仿宋" w:hAnsi="仿宋" w:eastAsia="仿宋" w:cs="仿宋"/>
          <w:b/>
          <w:bCs/>
          <w:color w:val="000000" w:themeColor="text1"/>
          <w:spacing w:val="-2"/>
          <w:sz w:val="32"/>
          <w:szCs w:val="32"/>
          <w14:textFill>
            <w14:solidFill>
              <w14:schemeClr w14:val="tx1"/>
            </w14:solidFill>
          </w14:textFill>
        </w:rPr>
        <w:t>第三章 赛事申请程序和材料</w:t>
      </w:r>
    </w:p>
    <w:bookmarkEnd w:id="2"/>
    <w:p>
      <w:pPr>
        <w:ind w:firstLine="600" w:firstLineChars="200"/>
        <w:jc w:val="left"/>
        <w:rPr>
          <w:rFonts w:ascii="仿宋" w:hAnsi="仿宋" w:eastAsia="仿宋" w:cs="仿宋"/>
          <w:sz w:val="30"/>
          <w:szCs w:val="30"/>
        </w:rPr>
      </w:pPr>
      <w:r>
        <w:rPr>
          <w:rFonts w:hint="eastAsia" w:ascii="仿宋" w:hAnsi="仿宋" w:eastAsia="仿宋" w:cs="仿宋"/>
          <w:sz w:val="30"/>
          <w:szCs w:val="30"/>
        </w:rPr>
        <w:t>第八条 承办世锦赛、世界杯、亚锦赛等赛事需由县区级以上人民政府通过当地地市级体育主管部门上报省级体育主管部门同意后，由省级体育主管部门向国家体育总局水上运动管理中心来函申办。</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全国性赛事须县区级以上政府向国家体育总局水上运动管理中心来函，并附地市级体育部门支持办赛的意见，或按申办地辖区内省级体育主管部门办赛规定办理。</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第九条 境外非政府组织在中国境内举办的冲浪事活动，应当经国家体育总局水上运动管理中心和省级人民政府体育部门同意，并报同级公安机关备案。</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第十条 赛事申请材料</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全国范围内各类冲浪赛事的申请举办地应该详细编制以下内容的申请材料：</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一、赛事名称及申请报告；</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二、赛事举办地县区级以上政府举办函和地市级体育部门支持办赛的意见；</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三、赛事的基本情况（主办单位、承办单位、协办单位、赛事规模、竞赛日程、竞赛设项、经费等）；</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四、赛事的筹备工作方案、安保方案、疫情防控工作方案、舆情应对处置预案和各项安全应急预案等；</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五、其他要求提交的书面材料。</w:t>
      </w:r>
    </w:p>
    <w:p>
      <w:pPr>
        <w:jc w:val="center"/>
        <w:rPr>
          <w:rFonts w:ascii="仿宋" w:hAnsi="仿宋" w:eastAsia="仿宋" w:cs="仿宋"/>
          <w:b/>
          <w:bCs/>
          <w:color w:val="000000" w:themeColor="text1"/>
          <w:sz w:val="32"/>
          <w:szCs w:val="32"/>
          <w14:textFill>
            <w14:solidFill>
              <w14:schemeClr w14:val="tx1"/>
            </w14:solidFill>
          </w14:textFill>
        </w:rPr>
      </w:pPr>
      <w:bookmarkStart w:id="3" w:name="_Toc2114215810"/>
      <w:r>
        <w:rPr>
          <w:rFonts w:hint="eastAsia" w:ascii="仿宋" w:hAnsi="仿宋" w:eastAsia="仿宋" w:cs="仿宋"/>
          <w:b/>
          <w:bCs/>
          <w:color w:val="000000" w:themeColor="text1"/>
          <w:sz w:val="32"/>
          <w:szCs w:val="32"/>
          <w14:textFill>
            <w14:solidFill>
              <w14:schemeClr w14:val="tx1"/>
            </w14:solidFill>
          </w14:textFill>
        </w:rPr>
        <w:t>第四章 赛事活动基本条件与保障</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第十一条</w:t>
      </w:r>
      <w:r>
        <w:rPr>
          <w:rFonts w:hint="eastAsia" w:ascii="仿宋" w:hAnsi="仿宋" w:eastAsia="仿宋" w:cs="仿宋"/>
          <w:bCs/>
          <w:sz w:val="30"/>
          <w:szCs w:val="30"/>
          <w:lang w:val="en-US" w:eastAsia="zh-CN"/>
        </w:rPr>
        <w:t xml:space="preserve">  全国性及</w:t>
      </w:r>
      <w:r>
        <w:rPr>
          <w:rFonts w:hint="eastAsia" w:ascii="仿宋" w:hAnsi="仿宋" w:eastAsia="仿宋" w:cs="仿宋"/>
          <w:color w:val="000000" w:themeColor="text1"/>
          <w:sz w:val="32"/>
          <w:szCs w:val="32"/>
          <w14:textFill>
            <w14:solidFill>
              <w14:schemeClr w14:val="tx1"/>
            </w14:solidFill>
          </w14:textFill>
        </w:rPr>
        <w:t>以上级别冲浪</w:t>
      </w:r>
      <w:r>
        <w:rPr>
          <w:rFonts w:hint="eastAsia" w:ascii="仿宋" w:hAnsi="仿宋" w:eastAsia="仿宋" w:cs="仿宋"/>
          <w:color w:val="000000" w:themeColor="text1"/>
          <w:sz w:val="32"/>
          <w:szCs w:val="32"/>
          <w:lang w:val="en-US" w:eastAsia="zh-CN"/>
          <w14:textFill>
            <w14:solidFill>
              <w14:schemeClr w14:val="tx1"/>
            </w14:solidFill>
          </w14:textFill>
        </w:rPr>
        <w:t>赛事</w:t>
      </w:r>
      <w:r>
        <w:rPr>
          <w:rFonts w:hint="eastAsia" w:ascii="仿宋" w:hAnsi="仿宋" w:eastAsia="仿宋" w:cs="仿宋"/>
          <w:color w:val="000000" w:themeColor="text1"/>
          <w:sz w:val="32"/>
          <w:szCs w:val="32"/>
          <w14:textFill>
            <w14:solidFill>
              <w14:schemeClr w14:val="tx1"/>
            </w14:solidFill>
          </w14:textFill>
        </w:rPr>
        <w:t>前期需国家体育总局水上运动管理中心派技术人员到现场对赛事水域、陆上设施、食宿条件、环境交通、医疗救援保障等方面进行综合调研评估，并提出意见。</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第十二条</w:t>
      </w:r>
      <w:r>
        <w:rPr>
          <w:rFonts w:hint="eastAsia" w:ascii="仿宋" w:hAnsi="仿宋" w:eastAsia="仿宋" w:cs="仿宋"/>
          <w:color w:val="000000" w:themeColor="text1"/>
          <w:sz w:val="32"/>
          <w:szCs w:val="32"/>
          <w14:textFill>
            <w14:solidFill>
              <w14:schemeClr w14:val="tx1"/>
            </w14:solidFill>
          </w14:textFill>
        </w:rPr>
        <w:t xml:space="preserve"> 场地条件（根据不同类赛事可适当调整）</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一、比赛要求在相对安全的水域，浪况一般不低于0.5米，同时确保运动员安全的情况下举办比赛。同时比赛场地必须得到海域主管部门的同意和支持，并充分了解比赛区域周围环境、水流、潮汐等变化以及水下环境，了解威胁比赛安全的动物、暗礁、暗流等，同时做好相关安全预案。</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二、比赛需实时检测浪况、风向、水温等条件因素，参考当地海事和天气预报部门实时提供的数据。结合国际公认的浪况和水文预报网站和APP平台，综合考虑办赛条件。</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三、每天20:00前需通知各参赛单位明日预计划赛程。每日开赛前半小时需提前观察浪况和天气等条件，召开赛前技术会议告知当日比赛赛程。</w:t>
      </w:r>
    </w:p>
    <w:p>
      <w:pPr>
        <w:ind w:firstLine="640" w:firstLineChars="200"/>
        <w:rPr>
          <w:rFonts w:ascii="仿宋" w:hAnsi="仿宋" w:eastAsia="仿宋" w:cs="仿宋"/>
          <w:sz w:val="32"/>
          <w:szCs w:val="32"/>
        </w:rPr>
      </w:pPr>
      <w:bookmarkStart w:id="4" w:name="_Toc671915936"/>
      <w:r>
        <w:rPr>
          <w:rFonts w:hint="eastAsia" w:ascii="仿宋" w:hAnsi="仿宋" w:eastAsia="仿宋" w:cs="仿宋"/>
          <w:sz w:val="32"/>
          <w:szCs w:val="32"/>
        </w:rPr>
        <w:t xml:space="preserve"> 四、赛场区域划分</w:t>
      </w:r>
      <w:r>
        <w:rPr>
          <w:rFonts w:ascii="仿宋" w:hAnsi="仿宋" w:eastAsia="仿宋" w:cs="仿宋"/>
          <w:sz w:val="32"/>
          <w:szCs w:val="32"/>
        </w:rPr>
        <w:t>：</w:t>
      </w:r>
      <w:bookmarkEnd w:id="4"/>
    </w:p>
    <w:p>
      <w:pPr>
        <w:spacing w:line="360" w:lineRule="auto"/>
        <w:jc w:val="center"/>
      </w:pPr>
      <w:r>
        <w:drawing>
          <wp:inline distT="0" distB="0" distL="114300" distR="114300">
            <wp:extent cx="5404485" cy="2887980"/>
            <wp:effectExtent l="0" t="0" r="5715" b="7620"/>
            <wp:docPr id="3" name="图片 3" descr="2019年第十届万宁国际冲浪赛赛场模拟图V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年第十届万宁国际冲浪赛赛场模拟图V4_03"/>
                    <pic:cNvPicPr>
                      <a:picLocks noChangeAspect="1"/>
                    </pic:cNvPicPr>
                  </pic:nvPicPr>
                  <pic:blipFill>
                    <a:blip r:embed="rId5"/>
                    <a:stretch>
                      <a:fillRect/>
                    </a:stretch>
                  </pic:blipFill>
                  <pic:spPr>
                    <a:xfrm>
                      <a:off x="0" y="0"/>
                      <a:ext cx="5404485" cy="2887980"/>
                    </a:xfrm>
                    <a:prstGeom prst="rect">
                      <a:avLst/>
                    </a:prstGeom>
                  </pic:spPr>
                </pic:pic>
              </a:graphicData>
            </a:graphic>
          </wp:inline>
        </w:drawing>
      </w:r>
    </w:p>
    <w:p>
      <w:pPr>
        <w:spacing w:line="360" w:lineRule="auto"/>
        <w:jc w:val="center"/>
      </w:pPr>
      <w:r>
        <w:rPr>
          <w:rFonts w:hint="eastAsia"/>
        </w:rPr>
        <w:t>场地划分示例</w:t>
      </w:r>
    </w:p>
    <w:p>
      <w:pPr>
        <w:spacing w:line="360" w:lineRule="auto"/>
        <w:jc w:val="center"/>
      </w:pPr>
      <w:r>
        <w:drawing>
          <wp:inline distT="0" distB="0" distL="114300" distR="114300">
            <wp:extent cx="5387975" cy="3061970"/>
            <wp:effectExtent l="0" t="0" r="9525" b="11430"/>
            <wp:docPr id="12" name="图片 12" descr="2019年第十届万宁国际冲浪赛赛场模拟图V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9年第十届万宁国际冲浪赛赛场模拟图V4_01"/>
                    <pic:cNvPicPr>
                      <a:picLocks noChangeAspect="1"/>
                    </pic:cNvPicPr>
                  </pic:nvPicPr>
                  <pic:blipFill>
                    <a:blip r:embed="rId6"/>
                    <a:srcRect t="266" b="11875"/>
                    <a:stretch>
                      <a:fillRect/>
                    </a:stretch>
                  </pic:blipFill>
                  <pic:spPr>
                    <a:xfrm>
                      <a:off x="0" y="0"/>
                      <a:ext cx="5387975" cy="3061970"/>
                    </a:xfrm>
                    <a:prstGeom prst="rect">
                      <a:avLst/>
                    </a:prstGeom>
                  </pic:spPr>
                </pic:pic>
              </a:graphicData>
            </a:graphic>
          </wp:inline>
        </w:drawing>
      </w:r>
    </w:p>
    <w:p>
      <w:pPr>
        <w:spacing w:line="360" w:lineRule="auto"/>
      </w:pPr>
      <w:r>
        <w:drawing>
          <wp:inline distT="0" distB="0" distL="114300" distR="114300">
            <wp:extent cx="5255895" cy="2661285"/>
            <wp:effectExtent l="0" t="0" r="1905" b="5715"/>
            <wp:docPr id="15" name="图片 15" descr="/Users/zhongjian/Downloads/盘古掌/图片/Event_Site_Sean_Evans.jpgEvent_Site_Sean_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ongjian/Downloads/盘古掌/图片/Event_Site_Sean_Evans.jpgEvent_Site_Sean_Evans"/>
                    <pic:cNvPicPr>
                      <a:picLocks noChangeAspect="1"/>
                    </pic:cNvPicPr>
                  </pic:nvPicPr>
                  <pic:blipFill>
                    <a:blip r:embed="rId7"/>
                    <a:srcRect t="20510" b="13368"/>
                    <a:stretch>
                      <a:fillRect/>
                    </a:stretch>
                  </pic:blipFill>
                  <pic:spPr>
                    <a:xfrm>
                      <a:off x="0" y="0"/>
                      <a:ext cx="5255895" cy="2661285"/>
                    </a:xfrm>
                    <a:prstGeom prst="rect">
                      <a:avLst/>
                    </a:prstGeom>
                  </pic:spPr>
                </pic:pic>
              </a:graphicData>
            </a:graphic>
          </wp:inline>
        </w:drawing>
      </w:r>
    </w:p>
    <w:p>
      <w:pPr>
        <w:spacing w:line="360" w:lineRule="auto"/>
        <w:ind w:firstLine="420" w:firstLineChars="200"/>
        <w:outlineLvl w:val="1"/>
      </w:pPr>
      <w:bookmarkStart w:id="5" w:name="_Toc1422120426"/>
      <w:r>
        <w:t>裁判</w:t>
      </w:r>
      <w:r>
        <w:rPr>
          <w:rFonts w:hint="eastAsia"/>
        </w:rPr>
        <w:t>塔</w:t>
      </w:r>
      <w:r>
        <w:t>：</w:t>
      </w:r>
      <w:bookmarkEnd w:id="5"/>
      <w:r>
        <w:t>办公室、仓库、直播间、媒体设备间（根据比赛规模直播间和媒体设备间可合并）、裁判室（2间）、VIP室、优先权显示系统</w:t>
      </w:r>
    </w:p>
    <w:p>
      <w:pPr>
        <w:spacing w:line="360" w:lineRule="auto"/>
        <w:ind w:left="420" w:hanging="420" w:hangingChars="200"/>
      </w:pPr>
      <w:r>
        <w:drawing>
          <wp:inline distT="0" distB="0" distL="114300" distR="114300">
            <wp:extent cx="5336540" cy="2557145"/>
            <wp:effectExtent l="0" t="0" r="10160"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8" cstate="email"/>
                    <a:srcRect/>
                    <a:stretch>
                      <a:fillRect/>
                    </a:stretch>
                  </pic:blipFill>
                  <pic:spPr>
                    <a:xfrm>
                      <a:off x="0" y="0"/>
                      <a:ext cx="5336540" cy="2557145"/>
                    </a:xfrm>
                    <a:prstGeom prst="rect">
                      <a:avLst/>
                    </a:prstGeom>
                    <a:noFill/>
                    <a:ln>
                      <a:noFill/>
                    </a:ln>
                  </pic:spPr>
                </pic:pic>
              </a:graphicData>
            </a:graphic>
          </wp:inline>
        </w:drawing>
      </w:r>
      <w:r>
        <w:rPr>
          <w:rFonts w:hint="eastAsia" w:asciiTheme="minorEastAsia" w:hAnsiTheme="minorEastAsia" w:cstheme="minorEastAsia"/>
          <w:szCs w:val="21"/>
        </w:rPr>
        <w:t>裁判室ISA搭建标准示意图</w:t>
      </w:r>
    </w:p>
    <w:p>
      <w:pPr>
        <w:spacing w:line="360" w:lineRule="auto"/>
      </w:pPr>
    </w:p>
    <w:p>
      <w:pPr>
        <w:spacing w:line="360" w:lineRule="auto"/>
      </w:pPr>
    </w:p>
    <w:p>
      <w:pPr>
        <w:spacing w:line="360" w:lineRule="auto"/>
        <w:jc w:val="center"/>
      </w:pPr>
      <w:r>
        <w:drawing>
          <wp:inline distT="0" distB="0" distL="114300" distR="114300">
            <wp:extent cx="4215765" cy="2056130"/>
            <wp:effectExtent l="0" t="0" r="635" b="1270"/>
            <wp:docPr id="22" name="Picture 14" descr="../../Photos/4%20Man%20Priority%20/WSG16%20Priority%20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Photos/4%20Man%20Priority%20/WSG16%20Priority%20Board.jpg"/>
                    <pic:cNvPicPr>
                      <a:picLocks noChangeAspect="1" noChangeArrowheads="1"/>
                    </pic:cNvPicPr>
                  </pic:nvPicPr>
                  <pic:blipFill>
                    <a:blip r:embed="rId9">
                      <a:extLst>
                        <a:ext uri="{28A0092B-C50C-407E-A947-70E740481C1C}">
                          <a14:useLocalDpi xmlns:a14="http://schemas.microsoft.com/office/drawing/2010/main" val="0"/>
                        </a:ext>
                      </a:extLst>
                    </a:blip>
                    <a:srcRect l="2154" t="10754" r="26093" b="36754"/>
                    <a:stretch>
                      <a:fillRect/>
                    </a:stretch>
                  </pic:blipFill>
                  <pic:spPr>
                    <a:xfrm>
                      <a:off x="0" y="0"/>
                      <a:ext cx="4215765" cy="2056130"/>
                    </a:xfrm>
                    <a:prstGeom prst="rect">
                      <a:avLst/>
                    </a:prstGeom>
                    <a:noFill/>
                    <a:ln>
                      <a:noFill/>
                    </a:ln>
                  </pic:spPr>
                </pic:pic>
              </a:graphicData>
            </a:graphic>
          </wp:inline>
        </w:drawing>
      </w:r>
    </w:p>
    <w:p>
      <w:pPr>
        <w:numPr>
          <w:ilvl w:val="255"/>
          <w:numId w:val="0"/>
        </w:numPr>
        <w:spacing w:line="360" w:lineRule="auto"/>
        <w:ind w:firstLine="420" w:firstLineChars="200"/>
        <w:rPr>
          <w:szCs w:val="21"/>
        </w:rPr>
      </w:pPr>
      <w:r>
        <w:rPr>
          <w:rFonts w:hint="eastAsia"/>
          <w:szCs w:val="21"/>
        </w:rPr>
        <w:t>优先权显示系统</w:t>
      </w:r>
      <w:r>
        <w:rPr>
          <w:szCs w:val="21"/>
        </w:rPr>
        <w:t>：</w:t>
      </w:r>
      <w:r>
        <w:t>8块3m X 3m PVC泡沫板，其中4个显示数字，4个显示颜色。或采购（租赁）LED显示屏，尺寸根据场地条件而定，原则上尺寸不小于泡沫板。提供至少1台带有HDMI接口的电视和1条HDMI线。</w:t>
      </w:r>
    </w:p>
    <w:p>
      <w:pPr>
        <w:spacing w:line="360" w:lineRule="auto"/>
        <w:jc w:val="center"/>
      </w:pPr>
      <w:r>
        <w:drawing>
          <wp:inline distT="0" distB="0" distL="114300" distR="114300">
            <wp:extent cx="3729990" cy="2015490"/>
            <wp:effectExtent l="0" t="0" r="3810" b="3810"/>
            <wp:docPr id="6" name="图片 6" descr="IMG_20200110_07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110_075742"/>
                    <pic:cNvPicPr>
                      <a:picLocks noChangeAspect="1"/>
                    </pic:cNvPicPr>
                  </pic:nvPicPr>
                  <pic:blipFill>
                    <a:blip r:embed="rId10"/>
                    <a:srcRect t="7179" b="20571"/>
                    <a:stretch>
                      <a:fillRect/>
                    </a:stretch>
                  </pic:blipFill>
                  <pic:spPr>
                    <a:xfrm>
                      <a:off x="0" y="0"/>
                      <a:ext cx="3729990" cy="2015490"/>
                    </a:xfrm>
                    <a:prstGeom prst="rect">
                      <a:avLst/>
                    </a:prstGeom>
                  </pic:spPr>
                </pic:pic>
              </a:graphicData>
            </a:graphic>
          </wp:inline>
        </w:drawing>
      </w:r>
    </w:p>
    <w:p>
      <w:pPr>
        <w:numPr>
          <w:ilvl w:val="255"/>
          <w:numId w:val="0"/>
        </w:numPr>
        <w:spacing w:line="360" w:lineRule="auto"/>
        <w:ind w:firstLine="420" w:firstLineChars="200"/>
      </w:pPr>
      <w:r>
        <w:t>直播间：良好的隔音效果</w:t>
      </w:r>
      <w:r>
        <w:rPr>
          <w:rFonts w:hint="eastAsia"/>
        </w:rPr>
        <w:t>，</w:t>
      </w:r>
      <w:r>
        <w:t>充足的灯光照明</w:t>
      </w:r>
      <w:r>
        <w:rPr>
          <w:rFonts w:hint="eastAsia"/>
        </w:rPr>
        <w:t>，</w:t>
      </w:r>
      <w:r>
        <w:t>1台空调</w:t>
      </w:r>
      <w:r>
        <w:rPr>
          <w:rFonts w:hint="eastAsia"/>
        </w:rPr>
        <w:t>，</w:t>
      </w:r>
      <w:r>
        <w:t>1台带有HDMI接口的不小于39寸的液晶电视</w:t>
      </w:r>
      <w:r>
        <w:rPr>
          <w:rFonts w:hint="eastAsia"/>
        </w:rPr>
        <w:t>，</w:t>
      </w:r>
      <w:r>
        <w:t>1张桌子和1块桌布</w:t>
      </w:r>
      <w:r>
        <w:rPr>
          <w:rFonts w:hint="eastAsia"/>
        </w:rPr>
        <w:t>，</w:t>
      </w:r>
      <w:r>
        <w:t>2张椅子</w:t>
      </w:r>
      <w:r>
        <w:rPr>
          <w:rFonts w:hint="eastAsia"/>
        </w:rPr>
        <w:t>，</w:t>
      </w:r>
      <w:r>
        <w:t>1块赛事背景板</w:t>
      </w:r>
      <w:r>
        <w:rPr>
          <w:rFonts w:hint="eastAsia"/>
        </w:rPr>
        <w:t>。</w:t>
      </w:r>
    </w:p>
    <w:p>
      <w:pPr>
        <w:tabs>
          <w:tab w:val="left" w:pos="840"/>
          <w:tab w:val="left" w:pos="1260"/>
        </w:tabs>
        <w:spacing w:line="360" w:lineRule="auto"/>
        <w:jc w:val="center"/>
      </w:pPr>
      <w:r>
        <w:drawing>
          <wp:inline distT="0" distB="0" distL="114300" distR="114300">
            <wp:extent cx="3711575" cy="2095500"/>
            <wp:effectExtent l="0" t="0" r="9525" b="0"/>
            <wp:docPr id="11" name="图片 11" descr="IMG_20200110_07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110_075538"/>
                    <pic:cNvPicPr>
                      <a:picLocks noChangeAspect="1"/>
                    </pic:cNvPicPr>
                  </pic:nvPicPr>
                  <pic:blipFill>
                    <a:blip r:embed="rId11"/>
                    <a:srcRect t="10788" b="9881"/>
                    <a:stretch>
                      <a:fillRect/>
                    </a:stretch>
                  </pic:blipFill>
                  <pic:spPr>
                    <a:xfrm>
                      <a:off x="0" y="0"/>
                      <a:ext cx="3711575" cy="2095500"/>
                    </a:xfrm>
                    <a:prstGeom prst="rect">
                      <a:avLst/>
                    </a:prstGeom>
                  </pic:spPr>
                </pic:pic>
              </a:graphicData>
            </a:graphic>
          </wp:inline>
        </w:drawing>
      </w:r>
    </w:p>
    <w:p>
      <w:pPr>
        <w:numPr>
          <w:ilvl w:val="255"/>
          <w:numId w:val="0"/>
        </w:numPr>
        <w:spacing w:line="360" w:lineRule="auto"/>
        <w:ind w:firstLine="420" w:firstLineChars="200"/>
      </w:pPr>
      <w:r>
        <w:t>媒体设备间：充足的桌子和椅子</w:t>
      </w:r>
      <w:r>
        <w:rPr>
          <w:rFonts w:hint="eastAsia"/>
        </w:rPr>
        <w:t>，</w:t>
      </w:r>
      <w:r>
        <w:t>充足的显示屏，3-4台带有HDMI接口的电视</w:t>
      </w:r>
      <w:r>
        <w:rPr>
          <w:rFonts w:hint="eastAsia"/>
        </w:rPr>
        <w:t>，</w:t>
      </w:r>
      <w:r>
        <w:t>1台空调</w:t>
      </w:r>
      <w:r>
        <w:rPr>
          <w:rFonts w:hint="eastAsia"/>
        </w:rPr>
        <w:t>，</w:t>
      </w:r>
      <w:r>
        <w:t>2条网络专线（1条提供最高上传速度给直播信号，1条提供媒体工作使用），以及充足的网线</w:t>
      </w:r>
      <w:r>
        <w:rPr>
          <w:rFonts w:hint="eastAsia"/>
        </w:rPr>
        <w:t>。</w:t>
      </w:r>
    </w:p>
    <w:p>
      <w:pPr>
        <w:numPr>
          <w:ilvl w:val="255"/>
          <w:numId w:val="0"/>
        </w:numPr>
        <w:spacing w:line="360" w:lineRule="auto"/>
        <w:ind w:firstLine="480" w:firstLineChars="200"/>
        <w:rPr>
          <w:rFonts w:ascii="仿宋" w:hAnsi="仿宋" w:eastAsia="仿宋" w:cs="仿宋"/>
          <w:bCs/>
          <w:sz w:val="24"/>
          <w:szCs w:val="30"/>
        </w:rPr>
      </w:pPr>
      <w:r>
        <w:rPr>
          <w:rFonts w:hint="eastAsia" w:ascii="仿宋" w:hAnsi="仿宋" w:eastAsia="仿宋" w:cs="仿宋"/>
          <w:bCs/>
          <w:sz w:val="24"/>
          <w:szCs w:val="30"/>
        </w:rPr>
        <w:t>休息区：</w:t>
      </w:r>
      <w:r>
        <w:rPr>
          <w:rFonts w:hint="eastAsia"/>
        </w:rPr>
        <w:t xml:space="preserve"> 运动员</w:t>
      </w:r>
      <w:r>
        <w:t>休息区、赞助商和纪念品展示区</w:t>
      </w:r>
    </w:p>
    <w:p>
      <w:pPr>
        <w:spacing w:line="360" w:lineRule="auto"/>
        <w:jc w:val="left"/>
      </w:pPr>
      <w:r>
        <w:drawing>
          <wp:inline distT="0" distB="0" distL="114300" distR="114300">
            <wp:extent cx="5260340" cy="2981960"/>
            <wp:effectExtent l="0" t="0" r="10160" b="2540"/>
            <wp:docPr id="9" name="图片 9" descr="WechatIMG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624"/>
                    <pic:cNvPicPr>
                      <a:picLocks noChangeAspect="1"/>
                    </pic:cNvPicPr>
                  </pic:nvPicPr>
                  <pic:blipFill>
                    <a:blip r:embed="rId12"/>
                    <a:srcRect t="1523"/>
                    <a:stretch>
                      <a:fillRect/>
                    </a:stretch>
                  </pic:blipFill>
                  <pic:spPr>
                    <a:xfrm>
                      <a:off x="0" y="0"/>
                      <a:ext cx="5260340" cy="2981960"/>
                    </a:xfrm>
                    <a:prstGeom prst="rect">
                      <a:avLst/>
                    </a:prstGeom>
                  </pic:spPr>
                </pic:pic>
              </a:graphicData>
            </a:graphic>
          </wp:inline>
        </w:drawing>
      </w:r>
      <w:bookmarkStart w:id="6" w:name="_Toc664125049"/>
      <w:r>
        <w:rPr>
          <w:rFonts w:hint="eastAsia"/>
        </w:rPr>
        <w:t xml:space="preserve">       </w:t>
      </w:r>
      <w:r>
        <w:t>运动员区：</w:t>
      </w:r>
      <w:bookmarkEnd w:id="6"/>
      <w:r>
        <w:rPr>
          <w:rFonts w:hint="eastAsia"/>
        </w:rPr>
        <w:t xml:space="preserve"> </w:t>
      </w:r>
      <w:r>
        <w:t>检录处、公告栏、冲浪板架、医疗站、淋浴间、更衣间、运动员储物区</w:t>
      </w:r>
    </w:p>
    <w:p>
      <w:pPr>
        <w:spacing w:line="360" w:lineRule="auto"/>
      </w:pPr>
      <w:r>
        <w:drawing>
          <wp:inline distT="0" distB="0" distL="114300" distR="114300">
            <wp:extent cx="5228590" cy="3488055"/>
            <wp:effectExtent l="0" t="0" r="3810" b="4445"/>
            <wp:docPr id="18" name="图片 18" descr="/Users/zhongjian/Downloads/盘古掌/图片/ESP_TEAM_JIMENEZ.jpgESP_TEAM_JIME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ongjian/Downloads/盘古掌/图片/ESP_TEAM_JIMENEZ.jpgESP_TEAM_JIMENEZ"/>
                    <pic:cNvPicPr>
                      <a:picLocks noChangeAspect="1"/>
                    </pic:cNvPicPr>
                  </pic:nvPicPr>
                  <pic:blipFill>
                    <a:blip r:embed="rId13"/>
                    <a:srcRect/>
                    <a:stretch>
                      <a:fillRect/>
                    </a:stretch>
                  </pic:blipFill>
                  <pic:spPr>
                    <a:xfrm>
                      <a:off x="0" y="0"/>
                      <a:ext cx="5228590" cy="3488055"/>
                    </a:xfrm>
                    <a:prstGeom prst="rect">
                      <a:avLst/>
                    </a:prstGeom>
                  </pic:spPr>
                </pic:pic>
              </a:graphicData>
            </a:graphic>
          </wp:inline>
        </w:drawing>
      </w:r>
    </w:p>
    <w:p>
      <w:pPr>
        <w:spacing w:line="360" w:lineRule="auto"/>
        <w:jc w:val="center"/>
      </w:pPr>
      <w:r>
        <w:rPr>
          <w:rFonts w:hint="eastAsia"/>
        </w:rPr>
        <w:t>运动员休息区</w:t>
      </w:r>
    </w:p>
    <w:p>
      <w:pPr>
        <w:spacing w:line="360" w:lineRule="auto"/>
        <w:jc w:val="center"/>
      </w:pPr>
      <w:r>
        <w:drawing>
          <wp:inline distT="0" distB="0" distL="114300" distR="114300">
            <wp:extent cx="4490720" cy="2593975"/>
            <wp:effectExtent l="0" t="0" r="5080" b="9525"/>
            <wp:docPr id="2" name="图片 2" descr="ITA_Leonard_Nika_Sean_Ev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TA_Leonard_Nika_Sean_Evans-2"/>
                    <pic:cNvPicPr>
                      <a:picLocks noChangeAspect="1"/>
                    </pic:cNvPicPr>
                  </pic:nvPicPr>
                  <pic:blipFill>
                    <a:blip r:embed="rId14"/>
                    <a:srcRect t="8136" b="5207"/>
                    <a:stretch>
                      <a:fillRect/>
                    </a:stretch>
                  </pic:blipFill>
                  <pic:spPr>
                    <a:xfrm>
                      <a:off x="0" y="0"/>
                      <a:ext cx="4490720" cy="2593975"/>
                    </a:xfrm>
                    <a:prstGeom prst="rect">
                      <a:avLst/>
                    </a:prstGeom>
                  </pic:spPr>
                </pic:pic>
              </a:graphicData>
            </a:graphic>
          </wp:inline>
        </w:drawing>
      </w:r>
    </w:p>
    <w:p>
      <w:pPr>
        <w:spacing w:line="360" w:lineRule="auto"/>
        <w:jc w:val="center"/>
      </w:pPr>
      <w:r>
        <w:rPr>
          <w:rFonts w:hint="eastAsia"/>
        </w:rPr>
        <w:t>检录处</w:t>
      </w:r>
      <w:r>
        <w:t>：提供至少2张长条桌、20个衣架、2个户外晾衣杆。</w:t>
      </w:r>
    </w:p>
    <w:p>
      <w:pPr>
        <w:tabs>
          <w:tab w:val="left" w:pos="840"/>
          <w:tab w:val="left" w:pos="1260"/>
        </w:tabs>
        <w:spacing w:line="360" w:lineRule="auto"/>
        <w:jc w:val="center"/>
        <w:rPr>
          <w:b/>
          <w:bCs/>
          <w:sz w:val="84"/>
          <w:szCs w:val="84"/>
        </w:rPr>
      </w:pPr>
      <w:r>
        <w:rPr>
          <w:b/>
          <w:bCs/>
          <w:sz w:val="84"/>
          <w:szCs w:val="84"/>
        </w:rPr>
        <w:drawing>
          <wp:inline distT="0" distB="0" distL="114300" distR="114300">
            <wp:extent cx="4505325" cy="2625090"/>
            <wp:effectExtent l="0" t="0" r="3175" b="3810"/>
            <wp:docPr id="4" name="图片 4" descr="IMG_20191211_07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1211_073108"/>
                    <pic:cNvPicPr>
                      <a:picLocks noChangeAspect="1"/>
                    </pic:cNvPicPr>
                  </pic:nvPicPr>
                  <pic:blipFill>
                    <a:blip r:embed="rId15"/>
                    <a:srcRect t="6529" b="15820"/>
                    <a:stretch>
                      <a:fillRect/>
                    </a:stretch>
                  </pic:blipFill>
                  <pic:spPr>
                    <a:xfrm>
                      <a:off x="0" y="0"/>
                      <a:ext cx="4505325" cy="2625090"/>
                    </a:xfrm>
                    <a:prstGeom prst="rect">
                      <a:avLst/>
                    </a:prstGeom>
                  </pic:spPr>
                </pic:pic>
              </a:graphicData>
            </a:graphic>
          </wp:inline>
        </w:drawing>
      </w:r>
    </w:p>
    <w:p>
      <w:pPr>
        <w:numPr>
          <w:ilvl w:val="255"/>
          <w:numId w:val="0"/>
        </w:numPr>
        <w:tabs>
          <w:tab w:val="left" w:pos="840"/>
          <w:tab w:val="left" w:pos="1260"/>
        </w:tabs>
        <w:spacing w:line="360" w:lineRule="auto"/>
        <w:ind w:firstLine="420" w:firstLineChars="200"/>
      </w:pPr>
      <w:r>
        <w:rPr>
          <w:rFonts w:hint="eastAsia"/>
        </w:rPr>
        <w:t xml:space="preserve">         </w:t>
      </w:r>
      <w:r>
        <w:t>冲浪板架：架子和地面需软垫包裹处理</w:t>
      </w:r>
    </w:p>
    <w:p>
      <w:pPr>
        <w:tabs>
          <w:tab w:val="left" w:pos="840"/>
          <w:tab w:val="left" w:pos="1260"/>
        </w:tabs>
        <w:spacing w:line="360" w:lineRule="auto"/>
        <w:ind w:left="210" w:leftChars="100"/>
        <w:jc w:val="center"/>
      </w:pPr>
      <w:r>
        <w:rPr>
          <w:b/>
          <w:bCs/>
          <w:sz w:val="52"/>
          <w:szCs w:val="52"/>
        </w:rPr>
        <w:drawing>
          <wp:inline distT="0" distB="0" distL="114300" distR="114300">
            <wp:extent cx="3861435" cy="2140585"/>
            <wp:effectExtent l="0" t="0" r="12065" b="5715"/>
            <wp:docPr id="33" name="图片 33" descr="微信图片_20190314115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03141158592"/>
                    <pic:cNvPicPr>
                      <a:picLocks noChangeAspect="1"/>
                    </pic:cNvPicPr>
                  </pic:nvPicPr>
                  <pic:blipFill>
                    <a:blip r:embed="rId16"/>
                    <a:srcRect t="9157" b="4774"/>
                    <a:stretch>
                      <a:fillRect/>
                    </a:stretch>
                  </pic:blipFill>
                  <pic:spPr>
                    <a:xfrm>
                      <a:off x="0" y="0"/>
                      <a:ext cx="3861435" cy="2140585"/>
                    </a:xfrm>
                    <a:prstGeom prst="rect">
                      <a:avLst/>
                    </a:prstGeom>
                  </pic:spPr>
                </pic:pic>
              </a:graphicData>
            </a:graphic>
          </wp:inline>
        </w:drawing>
      </w:r>
    </w:p>
    <w:p>
      <w:pPr>
        <w:numPr>
          <w:ilvl w:val="255"/>
          <w:numId w:val="0"/>
        </w:numPr>
        <w:tabs>
          <w:tab w:val="left" w:pos="840"/>
          <w:tab w:val="left" w:pos="1260"/>
        </w:tabs>
        <w:spacing w:line="360" w:lineRule="auto"/>
        <w:ind w:firstLine="420" w:firstLineChars="200"/>
      </w:pPr>
      <w:r>
        <w:rPr>
          <w:rFonts w:hint="eastAsia"/>
        </w:rPr>
        <w:t xml:space="preserve">      </w:t>
      </w:r>
      <w:r>
        <w:t>淋浴</w:t>
      </w:r>
      <w:r>
        <w:rPr>
          <w:rFonts w:hint="eastAsia"/>
        </w:rPr>
        <w:t>间</w:t>
      </w:r>
      <w:r>
        <w:t>：水漏系统必须加强，防止积水。必要情况下男女淋浴区分离</w:t>
      </w:r>
    </w:p>
    <w:p>
      <w:pPr>
        <w:numPr>
          <w:ilvl w:val="255"/>
          <w:numId w:val="0"/>
        </w:numPr>
        <w:tabs>
          <w:tab w:val="left" w:pos="840"/>
          <w:tab w:val="left" w:pos="1260"/>
        </w:tabs>
        <w:spacing w:line="360" w:lineRule="auto"/>
      </w:pPr>
    </w:p>
    <w:p>
      <w:pPr>
        <w:spacing w:line="360" w:lineRule="auto"/>
        <w:ind w:left="710"/>
        <w:outlineLvl w:val="1"/>
      </w:pPr>
      <w:bookmarkStart w:id="7" w:name="_Toc1477185084"/>
      <w:r>
        <w:rPr>
          <w:rFonts w:hint="eastAsia"/>
        </w:rPr>
        <w:t xml:space="preserve">  </w:t>
      </w:r>
      <w:r>
        <w:t>沙滩</w:t>
      </w:r>
      <w:r>
        <w:rPr>
          <w:rFonts w:hint="eastAsia"/>
        </w:rPr>
        <w:t>区</w:t>
      </w:r>
      <w:r>
        <w:t>：</w:t>
      </w:r>
      <w:bookmarkEnd w:id="7"/>
    </w:p>
    <w:p>
      <w:pPr>
        <w:numPr>
          <w:ilvl w:val="255"/>
          <w:numId w:val="0"/>
        </w:numPr>
        <w:spacing w:line="360" w:lineRule="auto"/>
        <w:ind w:left="420"/>
      </w:pPr>
      <w:r>
        <w:rPr>
          <w:rFonts w:hint="eastAsia"/>
        </w:rPr>
        <w:t xml:space="preserve">     </w:t>
      </w:r>
      <w:r>
        <w:t>观众观赛帐篷、运动员休息帐篷、赞助商展示区、应急救援通道</w:t>
      </w:r>
    </w:p>
    <w:p>
      <w:pPr>
        <w:spacing w:line="360" w:lineRule="auto"/>
        <w:jc w:val="center"/>
      </w:pPr>
      <w:r>
        <w:drawing>
          <wp:inline distT="0" distB="0" distL="114300" distR="114300">
            <wp:extent cx="4387215" cy="2303145"/>
            <wp:effectExtent l="0" t="0" r="6985" b="8255"/>
            <wp:docPr id="5" name="图片 8" descr="/Users/zhongjian/Downloads/盘古掌/图片/Event_Site_Sean_Evans-2.jpgEvent_Site_Sean_Ev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Users/zhongjian/Downloads/盘古掌/图片/Event_Site_Sean_Evans-2.jpgEvent_Site_Sean_Evans-2"/>
                    <pic:cNvPicPr>
                      <a:picLocks noChangeAspect="1"/>
                    </pic:cNvPicPr>
                  </pic:nvPicPr>
                  <pic:blipFill>
                    <a:blip r:embed="rId17"/>
                    <a:srcRect t="28681" b="1225"/>
                    <a:stretch>
                      <a:fillRect/>
                    </a:stretch>
                  </pic:blipFill>
                  <pic:spPr>
                    <a:xfrm>
                      <a:off x="0" y="0"/>
                      <a:ext cx="4387215" cy="2303145"/>
                    </a:xfrm>
                    <a:prstGeom prst="rect">
                      <a:avLst/>
                    </a:prstGeom>
                  </pic:spPr>
                </pic:pic>
              </a:graphicData>
            </a:graphic>
          </wp:inline>
        </w:drawing>
      </w:r>
    </w:p>
    <w:p>
      <w:pPr>
        <w:tabs>
          <w:tab w:val="left" w:pos="840"/>
          <w:tab w:val="left" w:pos="1260"/>
        </w:tabs>
        <w:spacing w:line="360" w:lineRule="auto"/>
        <w:jc w:val="center"/>
      </w:pPr>
      <w:r>
        <w:drawing>
          <wp:inline distT="0" distB="0" distL="114300" distR="114300">
            <wp:extent cx="4412615" cy="2462530"/>
            <wp:effectExtent l="0" t="0" r="6985" b="1270"/>
            <wp:docPr id="10" name="图片 7" descr="IMG_20191208_10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0191208_101227"/>
                    <pic:cNvPicPr>
                      <a:picLocks noChangeAspect="1"/>
                    </pic:cNvPicPr>
                  </pic:nvPicPr>
                  <pic:blipFill>
                    <a:blip r:embed="rId18"/>
                    <a:srcRect l="484" t="29794" r="-484" b="11053"/>
                    <a:stretch>
                      <a:fillRect/>
                    </a:stretch>
                  </pic:blipFill>
                  <pic:spPr>
                    <a:xfrm>
                      <a:off x="0" y="0"/>
                      <a:ext cx="4412615" cy="2462530"/>
                    </a:xfrm>
                    <a:prstGeom prst="rect">
                      <a:avLst/>
                    </a:prstGeom>
                  </pic:spPr>
                </pic:pic>
              </a:graphicData>
            </a:graphic>
          </wp:inline>
        </w:drawing>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第十三条 器材条件</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参加冲浪比赛的运动员和其他相关人员所着服装和所用器材必须符合ISA国际冲浪协会规则手册规定。</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第十四条 住宿保障</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国际A类赛事的住宿酒店规格需按照国际冲浪联合会要求的标准，全国性赛事住宿酒店规格不低于三星级标准，提供24小时热水澡，有</w:t>
      </w:r>
      <w:r>
        <w:rPr>
          <w:rFonts w:ascii="仿宋" w:hAnsi="仿宋" w:eastAsia="仿宋" w:cs="仿宋"/>
          <w:color w:val="000000" w:themeColor="text1"/>
          <w:sz w:val="32"/>
          <w:szCs w:val="32"/>
          <w14:textFill>
            <w14:solidFill>
              <w14:schemeClr w14:val="tx1"/>
            </w14:solidFill>
          </w14:textFill>
        </w:rPr>
        <w:t>W</w:t>
      </w:r>
      <w:r>
        <w:rPr>
          <w:rFonts w:hint="eastAsia" w:ascii="仿宋" w:hAnsi="仿宋" w:eastAsia="仿宋" w:cs="仿宋"/>
          <w:color w:val="000000" w:themeColor="text1"/>
          <w:sz w:val="32"/>
          <w:szCs w:val="32"/>
          <w14:textFill>
            <w14:solidFill>
              <w14:schemeClr w14:val="tx1"/>
            </w14:solidFill>
          </w14:textFill>
        </w:rPr>
        <w:t>i</w:t>
      </w:r>
      <w:r>
        <w:rPr>
          <w:rFonts w:ascii="仿宋" w:hAnsi="仿宋" w:eastAsia="仿宋" w:cs="仿宋"/>
          <w:color w:val="000000" w:themeColor="text1"/>
          <w:sz w:val="32"/>
          <w:szCs w:val="32"/>
          <w14:textFill>
            <w14:solidFill>
              <w14:schemeClr w14:val="tx1"/>
            </w14:solidFill>
          </w14:textFill>
        </w:rPr>
        <w:t>-F</w:t>
      </w:r>
      <w:r>
        <w:rPr>
          <w:rFonts w:hint="eastAsia" w:ascii="仿宋" w:hAnsi="仿宋" w:eastAsia="仿宋" w:cs="仿宋"/>
          <w:color w:val="000000" w:themeColor="text1"/>
          <w:sz w:val="32"/>
          <w:szCs w:val="32"/>
          <w14:textFill>
            <w14:solidFill>
              <w14:schemeClr w14:val="tx1"/>
            </w14:solidFill>
          </w14:textFill>
        </w:rPr>
        <w:t>i、电视等。酒店到赛场步行10分钟以上的须提供接驳车辆。其他类别赛事根据组委会条件适当调整。</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第十五条 食品保障</w:t>
      </w:r>
    </w:p>
    <w:p>
      <w:pPr>
        <w:pStyle w:val="5"/>
        <w:ind w:firstLine="640" w:firstLineChars="200"/>
        <w:jc w:val="both"/>
      </w:pPr>
      <w:r>
        <w:rPr>
          <w:rFonts w:hint="eastAsia" w:ascii="仿宋" w:hAnsi="仿宋" w:eastAsia="仿宋" w:cs="仿宋"/>
          <w:color w:val="000000" w:themeColor="text1"/>
          <w:sz w:val="32"/>
          <w:szCs w:val="32"/>
          <w14:textFill>
            <w14:solidFill>
              <w14:schemeClr w14:val="tx1"/>
            </w14:solidFill>
          </w14:textFill>
        </w:rPr>
        <w:t>高类别赛事须在酒店及赛场都能提供健康、干净卫生、充足的食物，</w:t>
      </w:r>
      <w:r>
        <w:rPr>
          <w:rFonts w:hint="eastAsia" w:ascii="仿宋" w:hAnsi="仿宋" w:eastAsia="仿宋"/>
          <w:sz w:val="32"/>
          <w:szCs w:val="32"/>
        </w:rPr>
        <w:t>赛事期间需要每天有食品安全管理部门进行食品安全检测</w:t>
      </w:r>
      <w:r>
        <w:rPr>
          <w:rFonts w:hint="eastAsia" w:ascii="仿宋" w:hAnsi="仿宋" w:eastAsia="仿宋" w:cs="仿宋"/>
          <w:color w:val="000000" w:themeColor="text1"/>
          <w:sz w:val="32"/>
          <w:szCs w:val="32"/>
          <w14:textFill>
            <w14:solidFill>
              <w14:schemeClr w14:val="tx1"/>
            </w14:solidFill>
          </w14:textFill>
        </w:rPr>
        <w:t>，能够保证至少100人同时用餐。</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第十六条 交通保障</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赛事承办方根据竞赛需要在比赛场地和驻地之间安排参赛人员往返的接驳车辆。能提供干净、有足够座位的巴士，可靠的时间表，经验丰富的司机，满足需求的交通工具以便应对紧急情况。</w:t>
      </w:r>
    </w:p>
    <w:p>
      <w:pPr>
        <w:widowControl/>
        <w:spacing w:line="450" w:lineRule="atLeast"/>
        <w:ind w:firstLine="6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第十七条 安全保障</w:t>
      </w:r>
    </w:p>
    <w:p>
      <w:pPr>
        <w:widowControl/>
        <w:spacing w:line="450" w:lineRule="atLeast"/>
        <w:ind w:firstLine="6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必须有专业人员负责安全保卫工作，保证比赛期间的秩序和各方面参赛人员的安全。加油、充电区须有特殊安保，现场配备燃油和电磁专业消防设备、消防车以及专业的消防人员，距离消防局需要在2</w:t>
      </w:r>
      <w:r>
        <w:rPr>
          <w:rFonts w:ascii="仿宋" w:hAnsi="仿宋" w:eastAsia="仿宋" w:cs="仿宋"/>
          <w:color w:val="000000" w:themeColor="text1"/>
          <w:kern w:val="0"/>
          <w:sz w:val="32"/>
          <w:szCs w:val="32"/>
          <w14:textFill>
            <w14:solidFill>
              <w14:schemeClr w14:val="tx1"/>
            </w14:solidFill>
          </w14:textFill>
        </w:rPr>
        <w:t>0</w:t>
      </w:r>
      <w:r>
        <w:rPr>
          <w:rFonts w:hint="eastAsia" w:ascii="仿宋" w:hAnsi="仿宋" w:eastAsia="仿宋" w:cs="仿宋"/>
          <w:color w:val="000000" w:themeColor="text1"/>
          <w:kern w:val="0"/>
          <w:sz w:val="32"/>
          <w:szCs w:val="32"/>
          <w14:textFill>
            <w14:solidFill>
              <w14:schemeClr w14:val="tx1"/>
            </w14:solidFill>
          </w14:textFill>
        </w:rPr>
        <w:t>分钟以内。赛场须配备水上救援救生船只设备和救援人员。</w:t>
      </w:r>
    </w:p>
    <w:p>
      <w:pPr>
        <w:widowControl/>
        <w:spacing w:line="450" w:lineRule="atLeast"/>
        <w:ind w:firstLine="6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第十八条 急救保障</w:t>
      </w:r>
    </w:p>
    <w:p>
      <w:pPr>
        <w:widowControl/>
        <w:spacing w:line="450" w:lineRule="atLeast"/>
        <w:ind w:firstLine="6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比赛期间至少在现场配备救护车</w:t>
      </w:r>
      <w:r>
        <w:rPr>
          <w:rFonts w:ascii="仿宋" w:hAnsi="仿宋" w:eastAsia="仿宋" w:cs="仿宋"/>
          <w:color w:val="000000" w:themeColor="text1"/>
          <w:kern w:val="0"/>
          <w:sz w:val="32"/>
          <w:szCs w:val="32"/>
          <w14:textFill>
            <w14:solidFill>
              <w14:schemeClr w14:val="tx1"/>
            </w14:solidFill>
          </w14:textFill>
        </w:rPr>
        <w:t>1</w:t>
      </w:r>
      <w:r>
        <w:rPr>
          <w:rFonts w:hint="eastAsia" w:ascii="仿宋" w:hAnsi="仿宋" w:eastAsia="仿宋" w:cs="仿宋"/>
          <w:color w:val="000000" w:themeColor="text1"/>
          <w:kern w:val="0"/>
          <w:sz w:val="32"/>
          <w:szCs w:val="32"/>
          <w14:textFill>
            <w14:solidFill>
              <w14:schemeClr w14:val="tx1"/>
            </w14:solidFill>
          </w14:textFill>
        </w:rPr>
        <w:t>辆，配备相应的医护人员及心脏除颤仪、轮式担架等急救药品和器械，并在赛场内设置医疗救护站。赛场需距离二甲以上医院20分钟车程以内。</w:t>
      </w:r>
    </w:p>
    <w:p>
      <w:pPr>
        <w:widowControl/>
        <w:spacing w:line="450" w:lineRule="atLeast"/>
        <w:ind w:firstLine="601"/>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第十九条 赛事保险</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体</w:t>
      </w:r>
      <w:r>
        <w:rPr>
          <w:rFonts w:hint="eastAsia" w:ascii="仿宋" w:hAnsi="仿宋" w:eastAsia="仿宋" w:cs="仿宋"/>
          <w:color w:val="000000" w:themeColor="text1"/>
          <w:sz w:val="32"/>
          <w:szCs w:val="32"/>
          <w14:textFill>
            <w14:solidFill>
              <w14:schemeClr w14:val="tx1"/>
            </w14:solidFill>
          </w14:textFill>
        </w:rPr>
        <w:t>育部门主办的冲浪事活动，赛事承办单位须主动购买公众责任方面的保险。其他冲浪事活动主办单位、参与者应当购买公众责任或意外伤害方面的保险。</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第二十条</w:t>
      </w:r>
      <w:r>
        <w:rPr>
          <w:rFonts w:hint="eastAsia" w:ascii="仿宋" w:hAnsi="仿宋" w:eastAsia="仿宋" w:cs="仿宋"/>
          <w:color w:val="000000" w:themeColor="text1"/>
          <w:sz w:val="32"/>
          <w:szCs w:val="32"/>
          <w14:textFill>
            <w14:solidFill>
              <w14:schemeClr w14:val="tx1"/>
            </w14:solidFill>
          </w14:textFill>
        </w:rPr>
        <w:t xml:space="preserve"> 经费条件</w:t>
      </w:r>
    </w:p>
    <w:p>
      <w:pPr>
        <w:ind w:firstLine="640" w:firstLineChars="200"/>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确保有足够的经费保障赛事的组织和运营工作。</w:t>
      </w:r>
    </w:p>
    <w:p>
      <w:pPr>
        <w:widowControl/>
        <w:spacing w:line="450" w:lineRule="atLeast"/>
        <w:jc w:val="center"/>
        <w:rPr>
          <w:rFonts w:ascii="仿宋" w:hAnsi="仿宋" w:eastAsia="仿宋" w:cs="仿宋"/>
          <w:b/>
          <w:bCs/>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第五章 </w:t>
      </w:r>
      <w:r>
        <w:rPr>
          <w:rFonts w:hint="eastAsia" w:ascii="仿宋" w:hAnsi="仿宋" w:eastAsia="仿宋" w:cs="仿宋"/>
          <w:b/>
          <w:bCs/>
          <w:color w:val="000000" w:themeColor="text1"/>
          <w:kern w:val="0"/>
          <w:sz w:val="32"/>
          <w:szCs w:val="32"/>
          <w14:textFill>
            <w14:solidFill>
              <w14:schemeClr w14:val="tx1"/>
            </w14:solidFill>
          </w14:textFill>
        </w:rPr>
        <w:t>赛事组织与服务工作</w:t>
      </w:r>
    </w:p>
    <w:p>
      <w:pPr>
        <w:spacing w:line="360" w:lineRule="auto"/>
        <w:ind w:firstLine="640" w:firstLineChars="200"/>
        <w:outlineLvl w:val="1"/>
        <w:rPr>
          <w:rFonts w:ascii="仿宋" w:hAnsi="仿宋" w:eastAsia="仿宋" w:cs="仿宋"/>
          <w:sz w:val="30"/>
          <w:szCs w:val="30"/>
        </w:rPr>
      </w:pPr>
      <w:r>
        <w:rPr>
          <w:rFonts w:hint="eastAsia" w:ascii="仿宋" w:hAnsi="仿宋" w:eastAsia="仿宋" w:cs="仿宋"/>
          <w:color w:val="000000" w:themeColor="text1"/>
          <w:kern w:val="0"/>
          <w:sz w:val="32"/>
          <w:szCs w:val="32"/>
          <w14:textFill>
            <w14:solidFill>
              <w14:schemeClr w14:val="tx1"/>
            </w14:solidFill>
          </w14:textFill>
        </w:rPr>
        <w:t xml:space="preserve">第二十一条 </w:t>
      </w:r>
      <w:r>
        <w:rPr>
          <w:rFonts w:hint="eastAsia" w:ascii="仿宋" w:hAnsi="仿宋" w:eastAsia="仿宋" w:cs="仿宋"/>
          <w:sz w:val="30"/>
          <w:szCs w:val="30"/>
        </w:rPr>
        <w:t>机构设置和工作职能</w:t>
      </w:r>
      <w:bookmarkEnd w:id="3"/>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组织委员会（以下简称“组委会”）下设办公室、安全委员会、疫情防控领导小组、应急救援部、竞赛部、市场开发部 、场地器材部、后勤接待部、 安全保卫部等9个办事机构，具体负责各项筹备工作。</w:t>
      </w:r>
    </w:p>
    <w:p>
      <w:pPr>
        <w:widowControl/>
        <w:spacing w:line="450" w:lineRule="atLeast"/>
        <w:ind w:firstLine="600"/>
        <w:rPr>
          <w:rFonts w:ascii="仿宋" w:hAnsi="仿宋" w:eastAsia="仿宋" w:cs="仿宋"/>
          <w:sz w:val="30"/>
          <w:szCs w:val="30"/>
        </w:rPr>
      </w:pPr>
      <w:r>
        <w:rPr>
          <w:rFonts w:hint="eastAsia" w:ascii="仿宋" w:hAnsi="仿宋" w:eastAsia="仿宋" w:cs="仿宋"/>
          <w:color w:val="000000" w:themeColor="text1"/>
          <w:kern w:val="0"/>
          <w:sz w:val="32"/>
          <w:szCs w:val="32"/>
          <w14:textFill>
            <w14:solidFill>
              <w14:schemeClr w14:val="tx1"/>
            </w14:solidFill>
          </w14:textFill>
        </w:rPr>
        <w:t>第二十二条 工作职能</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一、办公室</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（一）负责承办、处理组委会日常工作，做好上传下达工作；</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（二）负责日常文件处理工作，起草领导讲话稿和各种活动的具体方案等；</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（三）负责对各办事机构开展工作情况进行督促检查和有关协调工作；</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（四）负责赛事期间有关会议、活动的会务和组织协调工作；</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（五）抓好领导批示件的转办督办工作；</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（六）安排领导、嘉宾观看比赛；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（七）在竞赛场馆设置志愿者服务岗，为各地运动员、来宾及观众提供咨询引导及各项机动服务协助工作；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（八）负责请市政府协调场馆、消防、公安、交通、城管、医疗、食品药品、志愿者等部门；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（九）负责邀请市政府领导出席开赛仪式、颁奖仪式和颁奖嘉宾；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（十）完成组委会交办的其他工作任务。</w:t>
      </w:r>
    </w:p>
    <w:p>
      <w:pPr>
        <w:pStyle w:val="4"/>
        <w:spacing w:line="560" w:lineRule="exact"/>
        <w:ind w:firstLine="640" w:firstLineChars="200"/>
        <w:rPr>
          <w:rFonts w:ascii="仿宋" w:hAnsi="仿宋" w:eastAsia="仿宋"/>
          <w:spacing w:val="15"/>
          <w:sz w:val="32"/>
          <w:szCs w:val="32"/>
        </w:rPr>
      </w:pPr>
      <w:r>
        <w:rPr>
          <w:rFonts w:hint="eastAsia" w:ascii="仿宋" w:hAnsi="仿宋" w:eastAsia="仿宋" w:cs="仿宋_GB2312"/>
          <w:kern w:val="0"/>
          <w:sz w:val="32"/>
          <w:szCs w:val="32"/>
        </w:rPr>
        <w:t>二、</w:t>
      </w:r>
      <w:r>
        <w:rPr>
          <w:rFonts w:hint="eastAsia" w:ascii="仿宋" w:hAnsi="仿宋" w:eastAsia="仿宋"/>
          <w:spacing w:val="15"/>
          <w:sz w:val="32"/>
          <w:szCs w:val="32"/>
        </w:rPr>
        <w:t>疫情防控领导小组</w:t>
      </w:r>
    </w:p>
    <w:p>
      <w:pPr>
        <w:pStyle w:val="4"/>
        <w:spacing w:line="560" w:lineRule="exact"/>
        <w:ind w:firstLine="425" w:firstLineChars="133"/>
        <w:rPr>
          <w:rFonts w:ascii="仿宋" w:hAnsi="仿宋" w:eastAsia="仿宋"/>
          <w:sz w:val="32"/>
          <w:szCs w:val="32"/>
        </w:rPr>
      </w:pPr>
      <w:r>
        <w:rPr>
          <w:rFonts w:hint="eastAsia" w:ascii="仿宋" w:hAnsi="仿宋" w:eastAsia="仿宋"/>
          <w:sz w:val="32"/>
          <w:szCs w:val="32"/>
        </w:rPr>
        <w:t>（一）建立详细、完备的应急处理机制，包括与地方政府卫生防疫部门建立联防联控机制；</w:t>
      </w:r>
    </w:p>
    <w:p>
      <w:pPr>
        <w:pStyle w:val="4"/>
        <w:spacing w:line="560" w:lineRule="exact"/>
        <w:ind w:firstLine="425" w:firstLineChars="133"/>
        <w:rPr>
          <w:rFonts w:ascii="仿宋" w:hAnsi="仿宋" w:eastAsia="仿宋"/>
          <w:sz w:val="32"/>
          <w:szCs w:val="32"/>
        </w:rPr>
      </w:pPr>
      <w:r>
        <w:rPr>
          <w:rFonts w:hint="eastAsia" w:ascii="仿宋" w:hAnsi="仿宋" w:eastAsia="仿宋" w:cs="仿宋_GB2312"/>
          <w:kern w:val="0"/>
          <w:sz w:val="32"/>
          <w:szCs w:val="32"/>
        </w:rPr>
        <w:t>（二）</w:t>
      </w:r>
      <w:r>
        <w:rPr>
          <w:rFonts w:hint="eastAsia" w:ascii="仿宋" w:hAnsi="仿宋" w:eastAsia="仿宋"/>
          <w:sz w:val="32"/>
          <w:szCs w:val="32"/>
        </w:rPr>
        <w:t>及时接收、掌握国家、赛区所在省市的疫情防控最新形势和政策，在卫生防疫部门的指导下做好日常疫情防控工作和应急处理；</w:t>
      </w:r>
    </w:p>
    <w:p>
      <w:pPr>
        <w:pStyle w:val="4"/>
        <w:spacing w:line="560" w:lineRule="exact"/>
        <w:ind w:firstLine="425" w:firstLineChars="133"/>
        <w:rPr>
          <w:rFonts w:ascii="仿宋" w:hAnsi="仿宋" w:eastAsia="仿宋"/>
          <w:sz w:val="32"/>
          <w:szCs w:val="32"/>
        </w:rPr>
      </w:pPr>
      <w:r>
        <w:rPr>
          <w:rFonts w:hint="eastAsia" w:ascii="仿宋" w:hAnsi="仿宋" w:eastAsia="仿宋"/>
          <w:sz w:val="32"/>
          <w:szCs w:val="32"/>
        </w:rPr>
        <w:t>（三）负责赛区、赛队所有防疫防控工作。</w:t>
      </w:r>
    </w:p>
    <w:p>
      <w:pPr>
        <w:pStyle w:val="4"/>
        <w:spacing w:line="560" w:lineRule="exact"/>
        <w:ind w:firstLine="425" w:firstLineChars="133"/>
        <w:rPr>
          <w:rFonts w:ascii="仿宋" w:hAnsi="仿宋" w:eastAsia="仿宋"/>
          <w:sz w:val="32"/>
          <w:szCs w:val="32"/>
        </w:rPr>
      </w:pPr>
      <w:r>
        <w:rPr>
          <w:rFonts w:hint="eastAsia" w:ascii="仿宋" w:hAnsi="仿宋" w:eastAsia="仿宋"/>
          <w:sz w:val="32"/>
          <w:szCs w:val="32"/>
        </w:rPr>
        <w:t xml:space="preserve"> 三、安全委员会</w:t>
      </w:r>
    </w:p>
    <w:p>
      <w:pPr>
        <w:adjustRightInd w:val="0"/>
        <w:snapToGrid w:val="0"/>
        <w:spacing w:line="600" w:lineRule="exact"/>
        <w:ind w:firstLine="425" w:firstLineChars="133"/>
        <w:rPr>
          <w:rFonts w:ascii="仿宋" w:hAnsi="仿宋" w:eastAsia="仿宋" w:cs="宋体"/>
          <w:sz w:val="32"/>
          <w:szCs w:val="32"/>
          <w:shd w:val="clear" w:color="auto" w:fill="FFFFFF"/>
        </w:rPr>
      </w:pPr>
      <w:r>
        <w:rPr>
          <w:rFonts w:hint="eastAsia" w:ascii="仿宋" w:hAnsi="仿宋" w:eastAsia="仿宋"/>
          <w:sz w:val="32"/>
          <w:szCs w:val="32"/>
        </w:rPr>
        <w:t>（一）</w:t>
      </w:r>
      <w:r>
        <w:rPr>
          <w:rFonts w:hint="eastAsia" w:ascii="仿宋" w:hAnsi="仿宋" w:eastAsia="仿宋" w:cs="宋体"/>
          <w:sz w:val="32"/>
          <w:szCs w:val="32"/>
          <w:shd w:val="clear" w:color="auto" w:fill="FFFFFF"/>
        </w:rPr>
        <w:t>按照各项赛事活动所制订的《安全预案》要求进入指定位置，进行现场组织指挥，领导工作。</w:t>
      </w:r>
      <w:r>
        <w:rPr>
          <w:rFonts w:hint="eastAsia" w:ascii="仿宋" w:hAnsi="仿宋" w:eastAsia="仿宋" w:cs="宋体"/>
          <w:kern w:val="0"/>
          <w:sz w:val="32"/>
          <w:szCs w:val="32"/>
        </w:rPr>
        <w:t>安全委员会成员在赛事期间要坚守岗位，确保通讯畅通，随时准备应对可能产生的意外事件；</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（二）负责宣布暂停比赛、人员疏散、启动应急响应和终止、恢复活动等命令及对外信息发布；</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（三）分析比赛期间可能发生的各种突发事件，制定应急预案，并做好培训、演练与应急处置工作；</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（四）负责根据职责分工，一旦现场发生各类突发事件，立即进入应急状态；</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（五）负责</w:t>
      </w:r>
      <w:r>
        <w:rPr>
          <w:rFonts w:hint="eastAsia" w:ascii="仿宋" w:hAnsi="仿宋" w:eastAsia="仿宋"/>
          <w:sz w:val="32"/>
          <w:szCs w:val="32"/>
        </w:rPr>
        <w:t>严格执行安保方案</w:t>
      </w:r>
      <w:r>
        <w:rPr>
          <w:rFonts w:ascii="仿宋" w:hAnsi="仿宋" w:eastAsia="仿宋"/>
          <w:sz w:val="32"/>
          <w:szCs w:val="32"/>
        </w:rPr>
        <w:t>，维护</w:t>
      </w:r>
      <w:r>
        <w:rPr>
          <w:rFonts w:hint="eastAsia" w:ascii="仿宋" w:hAnsi="仿宋" w:eastAsia="仿宋"/>
          <w:sz w:val="32"/>
          <w:szCs w:val="32"/>
        </w:rPr>
        <w:t>赛场</w:t>
      </w:r>
      <w:r>
        <w:rPr>
          <w:rFonts w:ascii="仿宋" w:hAnsi="仿宋" w:eastAsia="仿宋"/>
          <w:sz w:val="32"/>
          <w:szCs w:val="32"/>
        </w:rPr>
        <w:t>秩序，</w:t>
      </w:r>
      <w:r>
        <w:rPr>
          <w:rFonts w:hint="eastAsia" w:ascii="仿宋" w:hAnsi="仿宋" w:eastAsia="仿宋" w:cs="Helvetica"/>
          <w:color w:val="000000"/>
          <w:kern w:val="0"/>
          <w:sz w:val="32"/>
          <w:szCs w:val="32"/>
        </w:rPr>
        <w:t>以防拥挤、踩踏、落水事件发生，</w:t>
      </w:r>
      <w:r>
        <w:rPr>
          <w:rFonts w:hint="eastAsia" w:ascii="仿宋" w:hAnsi="仿宋" w:eastAsia="仿宋" w:cs="宋体"/>
          <w:sz w:val="32"/>
          <w:szCs w:val="32"/>
        </w:rPr>
        <w:t>一旦现场发生各类突发事件，</w:t>
      </w:r>
      <w:r>
        <w:rPr>
          <w:rFonts w:ascii="仿宋" w:hAnsi="仿宋" w:eastAsia="仿宋"/>
          <w:sz w:val="32"/>
          <w:szCs w:val="32"/>
        </w:rPr>
        <w:t>听从安全委员</w:t>
      </w:r>
      <w:r>
        <w:rPr>
          <w:rFonts w:hint="eastAsia" w:ascii="仿宋" w:hAnsi="仿宋" w:eastAsia="仿宋"/>
          <w:sz w:val="32"/>
          <w:szCs w:val="32"/>
        </w:rPr>
        <w:t>会主任统一指挥，</w:t>
      </w:r>
      <w:r>
        <w:rPr>
          <w:rFonts w:hint="eastAsia" w:ascii="仿宋" w:hAnsi="仿宋" w:eastAsia="仿宋" w:cs="Helvetica"/>
          <w:color w:val="000000"/>
          <w:kern w:val="0"/>
          <w:sz w:val="32"/>
          <w:szCs w:val="32"/>
        </w:rPr>
        <w:t>及时劝导和疏散观众；</w:t>
      </w:r>
    </w:p>
    <w:p>
      <w:pPr>
        <w:spacing w:line="360" w:lineRule="auto"/>
        <w:ind w:firstLine="454" w:firstLineChars="142"/>
        <w:contextualSpacing/>
        <w:rPr>
          <w:rFonts w:ascii="仿宋" w:hAnsi="仿宋" w:eastAsia="仿宋"/>
          <w:sz w:val="32"/>
          <w:szCs w:val="32"/>
        </w:rPr>
      </w:pPr>
      <w:r>
        <w:rPr>
          <w:rFonts w:hint="eastAsia" w:ascii="仿宋" w:hAnsi="仿宋" w:eastAsia="仿宋" w:cs="宋体"/>
          <w:kern w:val="0"/>
          <w:sz w:val="32"/>
          <w:szCs w:val="32"/>
        </w:rPr>
        <w:t>（六）</w:t>
      </w:r>
      <w:r>
        <w:rPr>
          <w:rFonts w:hint="eastAsia" w:ascii="仿宋" w:hAnsi="仿宋" w:eastAsia="仿宋"/>
          <w:sz w:val="32"/>
          <w:szCs w:val="32"/>
        </w:rPr>
        <w:t>负责对现场医务人员指挥调度，手机保持通讯顺畅，及时处置可能发生的各种意外情况，如遇能力范围内不能处置或受环境限制不能处置的疾病，要及时转送病人到定点急救医院。病人安全送到医院后，</w:t>
      </w:r>
      <w:r>
        <w:rPr>
          <w:rFonts w:hint="eastAsia" w:ascii="仿宋" w:hAnsi="仿宋" w:eastAsia="仿宋"/>
          <w:sz w:val="32"/>
          <w:szCs w:val="32"/>
          <w:lang w:val="zh-CN"/>
        </w:rPr>
        <w:t>与接诊医生做好交接；</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（七）安排人员开展相关的抢险排危或者实施求救工作；</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（八）根据需要对事件现场采取控制措施。</w:t>
      </w:r>
    </w:p>
    <w:p>
      <w:pPr>
        <w:spacing w:line="360" w:lineRule="auto"/>
        <w:ind w:firstLine="566" w:firstLineChars="177"/>
        <w:contextualSpacing/>
        <w:rPr>
          <w:rFonts w:ascii="仿宋" w:hAnsi="仿宋" w:eastAsia="仿宋" w:cs="宋体"/>
          <w:kern w:val="0"/>
          <w:sz w:val="32"/>
          <w:szCs w:val="32"/>
        </w:rPr>
      </w:pPr>
      <w:r>
        <w:rPr>
          <w:rFonts w:hint="eastAsia" w:ascii="仿宋" w:hAnsi="仿宋" w:eastAsia="仿宋" w:cs="宋体"/>
          <w:kern w:val="0"/>
          <w:sz w:val="32"/>
          <w:szCs w:val="32"/>
        </w:rPr>
        <w:t>四、应急救援部</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（一）为避免雷电等恶劣天气威胁赛场人员的安全，组委会应获得当地天气预报部门的支持；</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（二）制定灾害性天气等风险防范及应急处置预案（包括实时风险评估、风险预警、风险防范、比赛中止或延期、及时救援等内容）；</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（三）协助当地体育部门积极与当地工业和信息化、公安、自然资源、交通运输、文化和旅游、卫生健康、应急管理、市场监督、气象、银保监等部门建立赛事活动应急工作机制；</w:t>
      </w:r>
    </w:p>
    <w:p>
      <w:pPr>
        <w:spacing w:line="360" w:lineRule="auto"/>
        <w:ind w:firstLine="454" w:firstLineChars="142"/>
        <w:contextualSpacing/>
        <w:rPr>
          <w:rFonts w:ascii="仿宋" w:hAnsi="仿宋" w:eastAsia="仿宋" w:cs="宋体"/>
          <w:kern w:val="0"/>
          <w:sz w:val="32"/>
          <w:szCs w:val="32"/>
        </w:rPr>
      </w:pPr>
      <w:r>
        <w:rPr>
          <w:rFonts w:hint="eastAsia" w:ascii="仿宋" w:hAnsi="仿宋" w:eastAsia="仿宋" w:cs="宋体"/>
          <w:kern w:val="0"/>
          <w:sz w:val="32"/>
          <w:szCs w:val="32"/>
        </w:rPr>
        <w:t>（四）组建应急救援队伍，配备救援器材和装备；</w:t>
      </w:r>
    </w:p>
    <w:p>
      <w:pPr>
        <w:spacing w:line="360" w:lineRule="auto"/>
        <w:ind w:firstLine="454" w:firstLineChars="142"/>
        <w:contextualSpacing/>
        <w:rPr>
          <w:rFonts w:ascii="仿宋" w:hAnsi="仿宋" w:eastAsia="仿宋" w:cs="仿宋"/>
          <w:sz w:val="30"/>
          <w:szCs w:val="30"/>
        </w:rPr>
      </w:pPr>
      <w:r>
        <w:rPr>
          <w:rFonts w:hint="eastAsia" w:ascii="仿宋" w:hAnsi="仿宋" w:eastAsia="仿宋" w:cs="宋体"/>
          <w:kern w:val="0"/>
          <w:sz w:val="32"/>
          <w:szCs w:val="32"/>
        </w:rPr>
        <w:t>（五）突发情况</w:t>
      </w:r>
      <w:r>
        <w:rPr>
          <w:rFonts w:hint="eastAsia" w:ascii="仿宋" w:hAnsi="仿宋" w:eastAsia="仿宋" w:cs="宋体"/>
          <w:kern w:val="0"/>
          <w:sz w:val="32"/>
          <w:szCs w:val="32"/>
          <w:lang w:val="en-US" w:eastAsia="zh-CN"/>
        </w:rPr>
        <w:t>告知</w:t>
      </w:r>
      <w:r>
        <w:rPr>
          <w:rFonts w:hint="eastAsia" w:ascii="仿宋" w:hAnsi="仿宋" w:eastAsia="仿宋" w:cs="宋体"/>
          <w:kern w:val="0"/>
          <w:sz w:val="32"/>
          <w:szCs w:val="32"/>
        </w:rPr>
        <w:t>与安全委员会</w:t>
      </w:r>
      <w:r>
        <w:rPr>
          <w:rFonts w:hint="eastAsia" w:ascii="仿宋" w:hAnsi="仿宋" w:eastAsia="仿宋" w:cs="宋体"/>
          <w:kern w:val="0"/>
          <w:sz w:val="32"/>
          <w:szCs w:val="32"/>
          <w:lang w:val="en-US" w:eastAsia="zh-CN"/>
        </w:rPr>
        <w:t>，</w:t>
      </w:r>
      <w:r>
        <w:rPr>
          <w:rFonts w:hint="eastAsia" w:ascii="仿宋" w:hAnsi="仿宋" w:eastAsia="仿宋" w:cs="宋体"/>
          <w:kern w:val="0"/>
          <w:sz w:val="32"/>
          <w:szCs w:val="32"/>
        </w:rPr>
        <w:t>听取</w:t>
      </w:r>
      <w:r>
        <w:rPr>
          <w:rFonts w:hint="eastAsia" w:ascii="仿宋" w:hAnsi="仿宋" w:eastAsia="仿宋" w:cs="宋体"/>
          <w:kern w:val="0"/>
          <w:sz w:val="32"/>
          <w:szCs w:val="32"/>
          <w:lang w:val="en-US" w:eastAsia="zh-CN"/>
        </w:rPr>
        <w:t>其</w:t>
      </w:r>
      <w:r>
        <w:rPr>
          <w:rFonts w:hint="eastAsia" w:ascii="仿宋" w:hAnsi="仿宋" w:eastAsia="仿宋" w:cs="宋体"/>
          <w:kern w:val="0"/>
          <w:sz w:val="32"/>
          <w:szCs w:val="32"/>
        </w:rPr>
        <w:t>指挥及时采取应急处置措施，共同确保赛事活动安全。</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五、竞赛部</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 xml:space="preserve">（一）制定竞赛活动的总体方案，汇编秩序册、成绩册； </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 xml:space="preserve">（二）选派辅助裁判员，协助仲裁委解决竞赛纠纷； </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 xml:space="preserve">（三）配合场地器材部制定器材设备购置预算方案； </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 xml:space="preserve">（四）制定颁奖方案； </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（五）负责安排颁奖仪式，包括颁奖嘉宾、礼仪人员、运动员引导员和奖牌管理人员等；</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 xml:space="preserve">（六）负责官员、裁判员、运动员、工作人员证件设计制作； </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（七）负责其他细小裁判用品；</w:t>
      </w:r>
    </w:p>
    <w:p>
      <w:pPr>
        <w:adjustRightInd w:val="0"/>
        <w:ind w:firstLine="600" w:firstLineChars="200"/>
        <w:rPr>
          <w:rFonts w:ascii="仿宋" w:hAnsi="仿宋" w:eastAsia="仿宋" w:cs="仿宋"/>
          <w:sz w:val="30"/>
          <w:szCs w:val="30"/>
        </w:rPr>
      </w:pPr>
      <w:r>
        <w:rPr>
          <w:rFonts w:hint="eastAsia" w:ascii="仿宋" w:hAnsi="仿宋" w:eastAsia="仿宋" w:cs="仿宋"/>
          <w:sz w:val="30"/>
          <w:szCs w:val="30"/>
        </w:rPr>
        <w:t>（八）完成组委会交办的其他工作任务；</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六、市场开发部</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（一）负责赛事所需资金和筹备工作经费的筹划，编制财务预、决算；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（二）制定财务经费、开支标准的有关规定及实施细则，制定财务管理方面的规章制度；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（三）负责财务的收支和使用管理工作，做好会计核算和资金调配；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（四）协助后勤保障部采购和购置竞赛相关设备和器材；</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（五）赛事结束后，会同有关部门做好物资、资产的清理和处置工作；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（六）负责市场开发招商、选定比赛赞助商，负责本次比赛资源开发工作；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（七）按要求接受审计，及时完整地提供有关财务资料；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（八）负责对接体育厅（局），确认办赛经费；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（九）完成组委会交办的其它工作任务。</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七、场地器材部</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（一）负责提供比赛场地安排计划和比赛场地布置计划；</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（二）负责提供符合项目竞赛要求的比赛场地和器材设备；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（三）做好竞赛期间场地、器材设备的安装、维护保养等保障工作；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（四）拟定比赛场地工作人员配置计划，明确主要工作职责，保证比赛顺利进行；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（五）及时做好比赛后各类各种器材设备的回收、保管和养护等善后工作；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（六）颁奖台、裁判桌椅、桌布；</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（七）裁判、工作人员矿泉水；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（八）背景板、横幅、水牌，四周贴比赛标志设计制作； </w:t>
      </w: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（九）完成执委会交办的其他工作任务。</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八、后勤接待部</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（一）负责制订各级领导、各代表队、嘉宾、裁判员和工作人员等接待方案；</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（二）制订并实施重要活动方案； </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（三）制订并实施卫生防疫、救护、水电、通信、环境卫生、饮食安全和各代表队接送方案；</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（四）负责对行政接待工作检查、督促和指导； </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（五）制订并实施总体食宿安排方案；</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（六）完成组委会交办的其他工作任务。</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九、安全保卫部</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（一）负责制订锦标赛安全保卫总体方案，场馆、住地安全保卫、交通、警卫、消防、突发安全事故处置等具体工作方案并实施；</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（二）督促、指导公安机关和安全保卫机构，制订各项安全保卫工作方案； </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（三）负责对场地消防设施安全进行检查、指导； </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（四）完成组委会交办的其他工作任务。</w:t>
      </w:r>
    </w:p>
    <w:p>
      <w:pPr>
        <w:jc w:val="center"/>
        <w:outlineLvl w:val="0"/>
        <w:rPr>
          <w:b/>
          <w:bCs/>
          <w:kern w:val="44"/>
          <w:sz w:val="32"/>
          <w:szCs w:val="32"/>
        </w:rPr>
      </w:pPr>
      <w:bookmarkStart w:id="8" w:name="_Toc438466161"/>
      <w:bookmarkStart w:id="9" w:name="_Toc1940"/>
      <w:r>
        <w:rPr>
          <w:rFonts w:hint="eastAsia"/>
          <w:b/>
          <w:bCs/>
          <w:kern w:val="44"/>
          <w:sz w:val="32"/>
          <w:szCs w:val="32"/>
        </w:rPr>
        <w:t>第六章 反兴奋剂及保险</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第二十三条</w:t>
      </w:r>
      <w:bookmarkEnd w:id="8"/>
      <w:bookmarkEnd w:id="9"/>
      <w:r>
        <w:rPr>
          <w:rFonts w:hint="eastAsia" w:ascii="仿宋" w:hAnsi="仿宋" w:eastAsia="仿宋" w:cs="仿宋"/>
          <w:sz w:val="30"/>
          <w:szCs w:val="30"/>
        </w:rPr>
        <w:t xml:space="preserve"> 反兴奋剂</w:t>
      </w:r>
    </w:p>
    <w:p>
      <w:pPr>
        <w:spacing w:line="382" w:lineRule="auto"/>
        <w:ind w:firstLine="600" w:firstLineChars="200"/>
        <w:rPr>
          <w:rFonts w:ascii="仿宋" w:hAnsi="仿宋" w:eastAsia="仿宋" w:cs="仿宋"/>
          <w:sz w:val="30"/>
          <w:szCs w:val="30"/>
        </w:rPr>
      </w:pPr>
      <w:r>
        <w:rPr>
          <w:rFonts w:ascii="仿宋" w:hAnsi="仿宋" w:eastAsia="仿宋" w:cs="仿宋"/>
          <w:sz w:val="30"/>
          <w:szCs w:val="30"/>
        </w:rPr>
        <w:t>根据赛事级别不同，</w:t>
      </w:r>
      <w:r>
        <w:rPr>
          <w:rFonts w:hint="eastAsia" w:ascii="仿宋" w:hAnsi="仿宋" w:eastAsia="仿宋" w:cs="仿宋"/>
          <w:sz w:val="30"/>
          <w:szCs w:val="30"/>
        </w:rPr>
        <w:t>将</w:t>
      </w:r>
      <w:r>
        <w:rPr>
          <w:rFonts w:ascii="仿宋" w:hAnsi="仿宋" w:eastAsia="仿宋" w:cs="仿宋"/>
          <w:sz w:val="30"/>
          <w:szCs w:val="30"/>
        </w:rPr>
        <w:t>严格执行</w:t>
      </w:r>
      <w:r>
        <w:rPr>
          <w:rFonts w:hint="eastAsia" w:ascii="仿宋" w:hAnsi="仿宋" w:eastAsia="仿宋" w:cs="仿宋"/>
          <w:sz w:val="30"/>
          <w:szCs w:val="30"/>
        </w:rPr>
        <w:t>反兴奋剂</w:t>
      </w:r>
      <w:r>
        <w:rPr>
          <w:rFonts w:ascii="仿宋" w:hAnsi="仿宋" w:eastAsia="仿宋" w:cs="仿宋"/>
          <w:sz w:val="30"/>
          <w:szCs w:val="30"/>
        </w:rPr>
        <w:t>管理</w:t>
      </w:r>
      <w:r>
        <w:rPr>
          <w:rFonts w:hint="eastAsia" w:ascii="仿宋" w:hAnsi="仿宋" w:eastAsia="仿宋" w:cs="仿宋"/>
          <w:sz w:val="30"/>
          <w:szCs w:val="30"/>
          <w:lang w:val="en-US" w:eastAsia="zh-CN"/>
        </w:rPr>
        <w:t>相关规定</w:t>
      </w:r>
      <w:r>
        <w:rPr>
          <w:rFonts w:hint="eastAsia" w:ascii="仿宋" w:hAnsi="仿宋" w:eastAsia="仿宋" w:cs="仿宋"/>
          <w:sz w:val="30"/>
          <w:szCs w:val="30"/>
        </w:rPr>
        <w:t>。</w:t>
      </w:r>
    </w:p>
    <w:p>
      <w:pPr>
        <w:spacing w:line="382" w:lineRule="auto"/>
        <w:ind w:firstLine="600" w:firstLineChars="200"/>
        <w:rPr>
          <w:rFonts w:ascii="仿宋" w:hAnsi="仿宋" w:eastAsia="仿宋" w:cs="仿宋"/>
          <w:sz w:val="30"/>
          <w:szCs w:val="30"/>
        </w:rPr>
      </w:pPr>
      <w:bookmarkStart w:id="10" w:name="_Toc12133"/>
      <w:bookmarkStart w:id="11" w:name="_Toc1284375070"/>
      <w:r>
        <w:rPr>
          <w:rFonts w:hint="eastAsia" w:ascii="仿宋" w:hAnsi="仿宋" w:eastAsia="仿宋" w:cs="仿宋"/>
          <w:sz w:val="30"/>
          <w:szCs w:val="30"/>
        </w:rPr>
        <w:t>第二十四条 赛事保险</w:t>
      </w:r>
      <w:bookmarkEnd w:id="10"/>
      <w:bookmarkEnd w:id="11"/>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赛事主办</w:t>
      </w:r>
      <w:r>
        <w:rPr>
          <w:rFonts w:ascii="仿宋" w:hAnsi="仿宋" w:eastAsia="仿宋" w:cs="仿宋"/>
          <w:sz w:val="30"/>
          <w:szCs w:val="30"/>
        </w:rPr>
        <w:t>方</w:t>
      </w:r>
      <w:r>
        <w:rPr>
          <w:rFonts w:hint="eastAsia" w:ascii="仿宋" w:hAnsi="仿宋" w:eastAsia="仿宋" w:cs="仿宋"/>
          <w:sz w:val="30"/>
          <w:szCs w:val="30"/>
        </w:rPr>
        <w:t>、</w:t>
      </w:r>
      <w:r>
        <w:rPr>
          <w:rFonts w:ascii="仿宋" w:hAnsi="仿宋" w:eastAsia="仿宋" w:cs="仿宋"/>
          <w:sz w:val="30"/>
          <w:szCs w:val="30"/>
        </w:rPr>
        <w:t>当地</w:t>
      </w:r>
      <w:r>
        <w:rPr>
          <w:rFonts w:hint="eastAsia" w:ascii="仿宋" w:hAnsi="仿宋" w:eastAsia="仿宋" w:cs="仿宋"/>
          <w:sz w:val="30"/>
          <w:szCs w:val="30"/>
        </w:rPr>
        <w:t>组委会不负责承担因意外、疾病或其他类似情况而产生的任何责任</w:t>
      </w:r>
      <w:r>
        <w:rPr>
          <w:rFonts w:ascii="仿宋" w:hAnsi="仿宋" w:eastAsia="仿宋" w:cs="仿宋"/>
          <w:sz w:val="30"/>
          <w:szCs w:val="30"/>
        </w:rPr>
        <w:t>，但必须购买赛事活动相关裁判员、志愿者和工作人员人生意外险等相关险种。</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参赛</w:t>
      </w:r>
      <w:r>
        <w:rPr>
          <w:rFonts w:ascii="仿宋" w:hAnsi="仿宋" w:eastAsia="仿宋" w:cs="仿宋"/>
          <w:sz w:val="30"/>
          <w:szCs w:val="30"/>
        </w:rPr>
        <w:t>单位必须</w:t>
      </w:r>
      <w:r>
        <w:rPr>
          <w:rFonts w:hint="eastAsia" w:ascii="仿宋" w:hAnsi="仿宋" w:eastAsia="仿宋" w:cs="仿宋"/>
          <w:sz w:val="30"/>
          <w:szCs w:val="30"/>
        </w:rPr>
        <w:t>为其</w:t>
      </w:r>
      <w:r>
        <w:rPr>
          <w:rFonts w:ascii="仿宋" w:hAnsi="仿宋" w:eastAsia="仿宋" w:cs="仿宋"/>
          <w:sz w:val="30"/>
          <w:szCs w:val="30"/>
        </w:rPr>
        <w:t>运动员、教练员和领队</w:t>
      </w:r>
      <w:r>
        <w:rPr>
          <w:rFonts w:hint="eastAsia" w:ascii="仿宋" w:hAnsi="仿宋" w:eastAsia="仿宋" w:cs="仿宋"/>
          <w:sz w:val="30"/>
          <w:szCs w:val="30"/>
        </w:rPr>
        <w:t>员购买</w:t>
      </w:r>
      <w:r>
        <w:rPr>
          <w:rFonts w:ascii="仿宋" w:hAnsi="仿宋" w:eastAsia="仿宋" w:cs="仿宋"/>
          <w:sz w:val="30"/>
          <w:szCs w:val="30"/>
        </w:rPr>
        <w:t>具有法律效益的商业</w:t>
      </w:r>
      <w:r>
        <w:rPr>
          <w:rFonts w:hint="eastAsia" w:ascii="仿宋" w:hAnsi="仿宋" w:eastAsia="仿宋" w:cs="仿宋"/>
          <w:sz w:val="30"/>
          <w:szCs w:val="30"/>
        </w:rPr>
        <w:t>保险，保险的有效范围需涵盖疾病</w:t>
      </w:r>
      <w:r>
        <w:rPr>
          <w:rFonts w:ascii="仿宋" w:hAnsi="仿宋" w:eastAsia="仿宋" w:cs="仿宋"/>
          <w:sz w:val="30"/>
          <w:szCs w:val="30"/>
        </w:rPr>
        <w:t>和</w:t>
      </w:r>
      <w:r>
        <w:rPr>
          <w:rFonts w:hint="eastAsia" w:ascii="仿宋" w:hAnsi="仿宋" w:eastAsia="仿宋" w:cs="仿宋"/>
          <w:sz w:val="30"/>
          <w:szCs w:val="30"/>
        </w:rPr>
        <w:t>事故等风险。</w:t>
      </w:r>
    </w:p>
    <w:p>
      <w:pPr>
        <w:spacing w:line="382" w:lineRule="auto"/>
        <w:ind w:firstLine="600" w:firstLineChars="200"/>
        <w:rPr>
          <w:rFonts w:ascii="仿宋" w:hAnsi="仿宋" w:eastAsia="仿宋" w:cs="仿宋"/>
          <w:sz w:val="30"/>
          <w:szCs w:val="30"/>
        </w:rPr>
      </w:pPr>
    </w:p>
    <w:p>
      <w:pPr>
        <w:spacing w:line="382" w:lineRule="auto"/>
        <w:ind w:firstLine="600" w:firstLineChars="200"/>
        <w:rPr>
          <w:rFonts w:ascii="仿宋" w:hAnsi="仿宋" w:eastAsia="仿宋" w:cs="仿宋"/>
          <w:sz w:val="30"/>
          <w:szCs w:val="30"/>
        </w:rPr>
      </w:pPr>
    </w:p>
    <w:p>
      <w:pPr>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第七章 附  则</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第二十五条 地方各级体育管理部门和协会，可以参照本指南，制定本地区相关赛事活动参赛指南。</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第二十六条 本指南解释权归国家体育总局水上运动管理中心所有。</w:t>
      </w:r>
    </w:p>
    <w:p>
      <w:pPr>
        <w:spacing w:line="382" w:lineRule="auto"/>
        <w:ind w:firstLine="600" w:firstLineChars="200"/>
        <w:rPr>
          <w:rFonts w:ascii="仿宋" w:hAnsi="仿宋" w:eastAsia="仿宋" w:cs="仿宋"/>
          <w:sz w:val="30"/>
          <w:szCs w:val="30"/>
        </w:rPr>
      </w:pPr>
      <w:r>
        <w:rPr>
          <w:rFonts w:hint="eastAsia" w:ascii="仿宋" w:hAnsi="仿宋" w:eastAsia="仿宋" w:cs="仿宋"/>
          <w:sz w:val="30"/>
          <w:szCs w:val="30"/>
        </w:rPr>
        <w:t>第二十七条 本指南自发布之日起实施。</w:t>
      </w:r>
    </w:p>
    <w:p>
      <w:pPr>
        <w:spacing w:line="382" w:lineRule="auto"/>
        <w:rPr>
          <w:rFonts w:ascii="Arial" w:hAnsi="仿宋" w:eastAsia="宋体"/>
          <w:szCs w:val="32"/>
        </w:rPr>
      </w:pPr>
    </w:p>
    <w:p>
      <w:pPr>
        <w:spacing w:line="382" w:lineRule="auto"/>
        <w:rPr>
          <w:rFonts w:ascii="Arial" w:hAnsi="仿宋" w:eastAsia="宋体"/>
          <w:szCs w:val="32"/>
        </w:rPr>
      </w:pPr>
    </w:p>
    <w:p>
      <w:pPr>
        <w:spacing w:line="382" w:lineRule="auto"/>
        <w:ind w:left="420" w:leftChars="20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BxLNCLXAQAAswMAAA4AAAAAAAAAAQAgAAAA&#10;HgEAAGRycy9lMm9Eb2MueG1sUEsFBgAAAAAGAAYAWQEAAGcFAAAAAA==&#10;">
              <v:fill on="f" focussize="0,0"/>
              <v:stroke on="f"/>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384C"/>
    <w:rsid w:val="000A2F3D"/>
    <w:rsid w:val="000E5A68"/>
    <w:rsid w:val="00110804"/>
    <w:rsid w:val="00124F03"/>
    <w:rsid w:val="00154943"/>
    <w:rsid w:val="0016161F"/>
    <w:rsid w:val="00172A27"/>
    <w:rsid w:val="001B1D9A"/>
    <w:rsid w:val="001D3521"/>
    <w:rsid w:val="001F658D"/>
    <w:rsid w:val="00241492"/>
    <w:rsid w:val="002F11B8"/>
    <w:rsid w:val="003A0E98"/>
    <w:rsid w:val="003C2F39"/>
    <w:rsid w:val="003F64E9"/>
    <w:rsid w:val="0047536E"/>
    <w:rsid w:val="004B64CC"/>
    <w:rsid w:val="00525DDF"/>
    <w:rsid w:val="00576642"/>
    <w:rsid w:val="005F36C2"/>
    <w:rsid w:val="00600E47"/>
    <w:rsid w:val="0061032F"/>
    <w:rsid w:val="00680790"/>
    <w:rsid w:val="00686E40"/>
    <w:rsid w:val="00695489"/>
    <w:rsid w:val="00713E55"/>
    <w:rsid w:val="00743589"/>
    <w:rsid w:val="007D7DDF"/>
    <w:rsid w:val="007F32E4"/>
    <w:rsid w:val="007F6134"/>
    <w:rsid w:val="008310D2"/>
    <w:rsid w:val="00856630"/>
    <w:rsid w:val="008A5A00"/>
    <w:rsid w:val="00952AB8"/>
    <w:rsid w:val="009C78BA"/>
    <w:rsid w:val="009D3F02"/>
    <w:rsid w:val="00A0245E"/>
    <w:rsid w:val="00A35CF2"/>
    <w:rsid w:val="00AB2F76"/>
    <w:rsid w:val="00B8094D"/>
    <w:rsid w:val="00BB398B"/>
    <w:rsid w:val="00BD0DC8"/>
    <w:rsid w:val="00C12009"/>
    <w:rsid w:val="00C32462"/>
    <w:rsid w:val="00C83DAE"/>
    <w:rsid w:val="00C97498"/>
    <w:rsid w:val="00CA4A26"/>
    <w:rsid w:val="00CB7CE9"/>
    <w:rsid w:val="00D25A72"/>
    <w:rsid w:val="00D362B7"/>
    <w:rsid w:val="00DB4DD2"/>
    <w:rsid w:val="00DE35AA"/>
    <w:rsid w:val="00DF24FE"/>
    <w:rsid w:val="00E277B9"/>
    <w:rsid w:val="00E33B11"/>
    <w:rsid w:val="00E64566"/>
    <w:rsid w:val="00F32790"/>
    <w:rsid w:val="00F376E2"/>
    <w:rsid w:val="00F46DC1"/>
    <w:rsid w:val="00F662E0"/>
    <w:rsid w:val="00F92784"/>
    <w:rsid w:val="00FA1D45"/>
    <w:rsid w:val="00FB64A6"/>
    <w:rsid w:val="00FC1A87"/>
    <w:rsid w:val="00FC4D3B"/>
    <w:rsid w:val="045D51EF"/>
    <w:rsid w:val="0607704D"/>
    <w:rsid w:val="0941606E"/>
    <w:rsid w:val="0B0621A5"/>
    <w:rsid w:val="0B134A3E"/>
    <w:rsid w:val="0B5A2DC7"/>
    <w:rsid w:val="0F7A871F"/>
    <w:rsid w:val="14210769"/>
    <w:rsid w:val="15C67622"/>
    <w:rsid w:val="15F43FB8"/>
    <w:rsid w:val="16F85458"/>
    <w:rsid w:val="17EC0EAE"/>
    <w:rsid w:val="19A3CD0D"/>
    <w:rsid w:val="20751CF5"/>
    <w:rsid w:val="26605524"/>
    <w:rsid w:val="26CF2658"/>
    <w:rsid w:val="27C42CAD"/>
    <w:rsid w:val="287E4B0D"/>
    <w:rsid w:val="29233D1B"/>
    <w:rsid w:val="2AD45AC9"/>
    <w:rsid w:val="2BB767AA"/>
    <w:rsid w:val="2F0F0EF2"/>
    <w:rsid w:val="346A19E4"/>
    <w:rsid w:val="34E164F4"/>
    <w:rsid w:val="352A7F33"/>
    <w:rsid w:val="36AD6EA3"/>
    <w:rsid w:val="393B35BF"/>
    <w:rsid w:val="3A6A2953"/>
    <w:rsid w:val="3A7F92C6"/>
    <w:rsid w:val="3CB77040"/>
    <w:rsid w:val="3CFC160A"/>
    <w:rsid w:val="3D7915F7"/>
    <w:rsid w:val="3F0F1639"/>
    <w:rsid w:val="3F3B6E05"/>
    <w:rsid w:val="3FB73557"/>
    <w:rsid w:val="3FBE42F6"/>
    <w:rsid w:val="42AB058E"/>
    <w:rsid w:val="455B3B9A"/>
    <w:rsid w:val="468C5540"/>
    <w:rsid w:val="47F74E63"/>
    <w:rsid w:val="4AC74B53"/>
    <w:rsid w:val="4E184E3C"/>
    <w:rsid w:val="4F7F123C"/>
    <w:rsid w:val="4FAC3865"/>
    <w:rsid w:val="517E1328"/>
    <w:rsid w:val="5186282B"/>
    <w:rsid w:val="57140A78"/>
    <w:rsid w:val="57312A72"/>
    <w:rsid w:val="58546499"/>
    <w:rsid w:val="5D75E07C"/>
    <w:rsid w:val="61990C83"/>
    <w:rsid w:val="637D0740"/>
    <w:rsid w:val="64655825"/>
    <w:rsid w:val="65643577"/>
    <w:rsid w:val="666F7659"/>
    <w:rsid w:val="68016DC1"/>
    <w:rsid w:val="6BAFCC57"/>
    <w:rsid w:val="6BBB0553"/>
    <w:rsid w:val="71F04AB5"/>
    <w:rsid w:val="72CA7886"/>
    <w:rsid w:val="74E237A9"/>
    <w:rsid w:val="76475632"/>
    <w:rsid w:val="796D6C12"/>
    <w:rsid w:val="7ABD639E"/>
    <w:rsid w:val="7BBF30E2"/>
    <w:rsid w:val="7BF7D67B"/>
    <w:rsid w:val="7D3B852D"/>
    <w:rsid w:val="7DDBAF5D"/>
    <w:rsid w:val="7F3218B2"/>
    <w:rsid w:val="7FD56D54"/>
    <w:rsid w:val="8BEC95A5"/>
    <w:rsid w:val="9BFA05F7"/>
    <w:rsid w:val="9DEFD72C"/>
    <w:rsid w:val="A2F8DCFA"/>
    <w:rsid w:val="AB7F0CF8"/>
    <w:rsid w:val="AF9ECB52"/>
    <w:rsid w:val="B7DE47A5"/>
    <w:rsid w:val="BDBA114C"/>
    <w:rsid w:val="BDBF9E1A"/>
    <w:rsid w:val="D3FF54E6"/>
    <w:rsid w:val="DEEDB8FF"/>
    <w:rsid w:val="EDE769DF"/>
    <w:rsid w:val="EFFF2782"/>
    <w:rsid w:val="F9DEECF4"/>
    <w:rsid w:val="FA7B01FA"/>
    <w:rsid w:val="FB5D63DE"/>
    <w:rsid w:val="FBBF46D3"/>
    <w:rsid w:val="FC75789E"/>
    <w:rsid w:val="FF7FD6F2"/>
    <w:rsid w:val="FFB68C0C"/>
    <w:rsid w:val="FFBFF7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ascii="Calibri" w:hAnsi="Calibri" w:eastAsia="宋体" w:cs="Times New Roman"/>
      <w:szCs w:val="24"/>
    </w:rPr>
  </w:style>
  <w:style w:type="paragraph" w:styleId="5">
    <w:name w:val="annotation text"/>
    <w:basedOn w:val="1"/>
    <w:unhideWhenUsed/>
    <w:qFormat/>
    <w:uiPriority w:val="99"/>
    <w:pPr>
      <w:jc w:val="left"/>
    </w:pPr>
  </w:style>
  <w:style w:type="paragraph" w:styleId="6">
    <w:name w:val="Body Text"/>
    <w:basedOn w:val="1"/>
    <w:link w:val="18"/>
    <w:qFormat/>
    <w:uiPriority w:val="1"/>
    <w:pPr>
      <w:autoSpaceDE w:val="0"/>
      <w:autoSpaceDN w:val="0"/>
      <w:adjustRightInd w:val="0"/>
      <w:spacing w:before="125"/>
      <w:ind w:left="527"/>
      <w:jc w:val="left"/>
    </w:pPr>
    <w:rPr>
      <w:rFonts w:ascii="PMingLiU" w:hAnsi="Times New Roman" w:eastAsia="PMingLiU" w:cs="PMingLiU"/>
      <w:kern w:val="0"/>
      <w:szCs w:val="21"/>
    </w:rPr>
  </w:style>
  <w:style w:type="paragraph" w:styleId="7">
    <w:name w:val="Balloon Text"/>
    <w:basedOn w:val="1"/>
    <w:link w:val="21"/>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Char"/>
    <w:basedOn w:val="14"/>
    <w:link w:val="9"/>
    <w:semiHidden/>
    <w:qFormat/>
    <w:uiPriority w:val="99"/>
    <w:rPr>
      <w:sz w:val="18"/>
      <w:szCs w:val="18"/>
    </w:rPr>
  </w:style>
  <w:style w:type="character" w:customStyle="1" w:styleId="17">
    <w:name w:val="页脚 Char"/>
    <w:basedOn w:val="14"/>
    <w:link w:val="8"/>
    <w:semiHidden/>
    <w:qFormat/>
    <w:uiPriority w:val="99"/>
    <w:rPr>
      <w:sz w:val="18"/>
      <w:szCs w:val="18"/>
    </w:rPr>
  </w:style>
  <w:style w:type="character" w:customStyle="1" w:styleId="18">
    <w:name w:val="正文文本 Char"/>
    <w:basedOn w:val="14"/>
    <w:link w:val="6"/>
    <w:qFormat/>
    <w:uiPriority w:val="1"/>
    <w:rPr>
      <w:rFonts w:ascii="PMingLiU" w:hAnsi="Times New Roman" w:eastAsia="PMingLiU" w:cs="PMingLiU"/>
      <w:kern w:val="0"/>
      <w:szCs w:val="21"/>
    </w:rPr>
  </w:style>
  <w:style w:type="character" w:customStyle="1" w:styleId="19">
    <w:name w:val="标题 1 Char"/>
    <w:basedOn w:val="14"/>
    <w:link w:val="2"/>
    <w:qFormat/>
    <w:uiPriority w:val="9"/>
    <w:rPr>
      <w:b/>
      <w:bCs/>
      <w:kern w:val="44"/>
      <w:sz w:val="44"/>
      <w:szCs w:val="44"/>
    </w:rPr>
  </w:style>
  <w:style w:type="paragraph" w:customStyle="1" w:styleId="2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1">
    <w:name w:val="批注框文本 Char"/>
    <w:basedOn w:val="14"/>
    <w:link w:val="7"/>
    <w:semiHidden/>
    <w:qFormat/>
    <w:uiPriority w:val="99"/>
    <w:rPr>
      <w:sz w:val="18"/>
      <w:szCs w:val="18"/>
    </w:rPr>
  </w:style>
  <w:style w:type="character" w:customStyle="1" w:styleId="22">
    <w:name w:val="标题 2 Char"/>
    <w:basedOn w:val="14"/>
    <w:link w:val="3"/>
    <w:qFormat/>
    <w:uiPriority w:val="9"/>
    <w:rPr>
      <w:rFonts w:asciiTheme="majorHAnsi" w:hAnsiTheme="majorHAnsi" w:eastAsiaTheme="majorEastAsia" w:cstheme="majorBidi"/>
      <w:b/>
      <w:bCs/>
      <w:sz w:val="32"/>
      <w:szCs w:val="32"/>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6EC19E-A647-48EF-99D8-ED0BE32C29B5}">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844</Words>
  <Characters>4811</Characters>
  <Lines>40</Lines>
  <Paragraphs>11</Paragraphs>
  <TotalTime>130</TotalTime>
  <ScaleCrop>false</ScaleCrop>
  <LinksUpToDate>false</LinksUpToDate>
  <CharactersWithSpaces>5644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2018-05-11T18:51:00Z</dcterms:created>
  <dc:creator>PC</dc:creator>
  <cp:lastModifiedBy>小俏</cp:lastModifiedBy>
  <cp:lastPrinted>2021-10-13T01:08:00Z</cp:lastPrinted>
  <dcterms:modified xsi:type="dcterms:W3CDTF">2021-10-14T07:49:31Z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009DBDEBD28348E08EB2E461FFAC672F</vt:lpwstr>
  </property>
</Properties>
</file>