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_GB2312" w:eastAsia="仿宋_GB2312"/>
          <w:sz w:val="32"/>
          <w:szCs w:val="32"/>
        </w:rPr>
      </w:pPr>
      <w:r>
        <w:rPr>
          <w:rFonts w:hint="eastAsia" w:ascii="仿宋_GB2312" w:eastAsia="仿宋_GB2312"/>
          <w:sz w:val="32"/>
          <w:szCs w:val="32"/>
        </w:rPr>
        <w:t>附件</w:t>
      </w:r>
      <w:bookmarkStart w:id="0" w:name="_GoBack"/>
      <w:bookmarkEnd w:id="0"/>
    </w:p>
    <w:p>
      <w:pPr>
        <w:keepNext w:val="0"/>
        <w:keepLines w:val="0"/>
        <w:pageBreakBefore w:val="0"/>
        <w:widowControl w:val="0"/>
        <w:kinsoku/>
        <w:overflowPunct/>
        <w:topLinePunct w:val="0"/>
        <w:autoSpaceDE/>
        <w:autoSpaceDN/>
        <w:bidi w:val="0"/>
        <w:jc w:val="center"/>
        <w:textAlignment w:val="auto"/>
        <w:rPr>
          <w:rFonts w:ascii="仿宋" w:hAnsi="仿宋" w:eastAsia="仿宋" w:cs="宋体"/>
          <w:sz w:val="36"/>
          <w:szCs w:val="36"/>
        </w:rPr>
      </w:pPr>
      <w:r>
        <w:rPr>
          <w:rFonts w:hint="eastAsia" w:ascii="宋体" w:hAnsi="宋体" w:cs="宋体"/>
          <w:b/>
          <w:bCs/>
          <w:sz w:val="36"/>
          <w:szCs w:val="36"/>
        </w:rPr>
        <w:t>在线考试环境及考试设备要求</w:t>
      </w:r>
    </w:p>
    <w:p>
      <w:pPr>
        <w:keepNext w:val="0"/>
        <w:keepLines w:val="0"/>
        <w:pageBreakBefore w:val="0"/>
        <w:widowControl w:val="0"/>
        <w:kinsoku/>
        <w:overflowPunct/>
        <w:topLinePunct w:val="0"/>
        <w:autoSpaceDE/>
        <w:autoSpaceDN/>
        <w:bidi w:val="0"/>
        <w:spacing w:line="360" w:lineRule="auto"/>
        <w:textAlignment w:val="auto"/>
        <w:rPr>
          <w:rFonts w:ascii="仿宋" w:hAnsi="仿宋" w:eastAsia="仿宋" w:cs="仿宋"/>
          <w:sz w:val="32"/>
          <w:szCs w:val="32"/>
        </w:rPr>
      </w:pP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本次远程测评采用双机位模式监考，考生应自行准备符合以下要求的考试设备和考试环境：</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一、考试场所</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（一）考生应选择安静、独立的空间独自参加考试，不得在公共场所（如公共教室、图书馆、咖啡馆等）进行考试；</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（二）考试全过程严格禁止无关人员出入考试场所；</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（三）考试期间背景必须真实，不得使用虚拟背景、更换背景；</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（四）除考试要求的设备外，房间其他电子设备必须关闭。</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二、用于在线考试及监控主机位的电脑</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（一）需要带正常上网功能的电脑，要求带有麦克风、摄像头（可准备外接麦克风、摄像头备用）；若扬声器较小，可自行配置音响（不允许使用耳机）；</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操作系统及浏览器版本要求如下：</w:t>
      </w:r>
    </w:p>
    <w:tbl>
      <w:tblPr>
        <w:tblStyle w:val="2"/>
        <w:tblW w:w="7800" w:type="dxa"/>
        <w:jc w:val="center"/>
        <w:tblLayout w:type="autofit"/>
        <w:tblCellMar>
          <w:top w:w="0" w:type="dxa"/>
          <w:left w:w="108" w:type="dxa"/>
          <w:bottom w:w="0" w:type="dxa"/>
          <w:right w:w="108" w:type="dxa"/>
        </w:tblCellMar>
      </w:tblPr>
      <w:tblGrid>
        <w:gridCol w:w="1109"/>
        <w:gridCol w:w="2840"/>
        <w:gridCol w:w="1318"/>
        <w:gridCol w:w="2533"/>
      </w:tblGrid>
      <w:tr>
        <w:tblPrEx>
          <w:tblCellMar>
            <w:top w:w="0" w:type="dxa"/>
            <w:left w:w="108" w:type="dxa"/>
            <w:bottom w:w="0" w:type="dxa"/>
            <w:right w:w="108" w:type="dxa"/>
          </w:tblCellMar>
        </w:tblPrEx>
        <w:trPr>
          <w:trHeight w:val="30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2F2F2"/>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b/>
                <w:bCs/>
                <w:color w:val="333333"/>
                <w:kern w:val="0"/>
                <w:sz w:val="22"/>
              </w:rPr>
            </w:pPr>
            <w:r>
              <w:rPr>
                <w:rFonts w:ascii="Arial" w:hAnsi="Arial" w:eastAsia="等线" w:cs="Arial"/>
                <w:b/>
                <w:bCs/>
                <w:color w:val="333333"/>
                <w:kern w:val="0"/>
                <w:sz w:val="22"/>
              </w:rPr>
              <w:t>平台</w:t>
            </w:r>
          </w:p>
        </w:tc>
        <w:tc>
          <w:tcPr>
            <w:tcW w:w="2840" w:type="dxa"/>
            <w:tcBorders>
              <w:top w:val="single" w:color="auto" w:sz="4" w:space="0"/>
              <w:left w:val="nil"/>
              <w:bottom w:val="single" w:color="auto" w:sz="4" w:space="0"/>
              <w:right w:val="single" w:color="auto" w:sz="4" w:space="0"/>
            </w:tcBorders>
            <w:shd w:val="clear" w:color="000000" w:fill="F2F2F2"/>
            <w:vAlign w:val="center"/>
          </w:tcPr>
          <w:p>
            <w:pPr>
              <w:keepNext w:val="0"/>
              <w:keepLines w:val="0"/>
              <w:pageBreakBefore w:val="0"/>
              <w:widowControl w:val="0"/>
              <w:kinsoku/>
              <w:overflowPunct/>
              <w:topLinePunct w:val="0"/>
              <w:autoSpaceDE/>
              <w:autoSpaceDN/>
              <w:bidi w:val="0"/>
              <w:jc w:val="center"/>
              <w:textAlignment w:val="auto"/>
              <w:rPr>
                <w:rFonts w:ascii="宋体" w:hAnsi="宋体" w:cs="宋体"/>
                <w:b/>
                <w:bCs/>
                <w:color w:val="333333"/>
                <w:kern w:val="0"/>
                <w:sz w:val="22"/>
              </w:rPr>
            </w:pPr>
            <w:r>
              <w:rPr>
                <w:rFonts w:hint="eastAsia" w:ascii="宋体" w:hAnsi="宋体" w:cs="宋体"/>
                <w:b/>
                <w:bCs/>
                <w:color w:val="333333"/>
                <w:kern w:val="0"/>
                <w:sz w:val="22"/>
              </w:rPr>
              <w:t>操作系统版本要求</w:t>
            </w:r>
          </w:p>
        </w:tc>
        <w:tc>
          <w:tcPr>
            <w:tcW w:w="1320" w:type="dxa"/>
            <w:tcBorders>
              <w:top w:val="single" w:color="auto" w:sz="4" w:space="0"/>
              <w:left w:val="nil"/>
              <w:bottom w:val="single" w:color="auto" w:sz="4" w:space="0"/>
              <w:right w:val="single" w:color="auto" w:sz="4" w:space="0"/>
            </w:tcBorders>
            <w:shd w:val="clear" w:color="000000" w:fill="F2F2F2"/>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b/>
                <w:bCs/>
                <w:color w:val="333333"/>
                <w:kern w:val="0"/>
                <w:sz w:val="22"/>
              </w:rPr>
            </w:pPr>
            <w:r>
              <w:rPr>
                <w:rFonts w:ascii="Arial" w:hAnsi="Arial" w:eastAsia="等线" w:cs="Arial"/>
                <w:b/>
                <w:bCs/>
                <w:color w:val="333333"/>
                <w:kern w:val="0"/>
                <w:sz w:val="22"/>
              </w:rPr>
              <w:t>浏览器类型</w:t>
            </w:r>
          </w:p>
        </w:tc>
        <w:tc>
          <w:tcPr>
            <w:tcW w:w="2540" w:type="dxa"/>
            <w:tcBorders>
              <w:top w:val="single" w:color="auto" w:sz="4" w:space="0"/>
              <w:left w:val="nil"/>
              <w:bottom w:val="single" w:color="auto" w:sz="4" w:space="0"/>
              <w:right w:val="single" w:color="auto" w:sz="4" w:space="0"/>
            </w:tcBorders>
            <w:shd w:val="clear" w:color="000000" w:fill="F2F2F2"/>
            <w:vAlign w:val="center"/>
          </w:tcPr>
          <w:p>
            <w:pPr>
              <w:keepNext w:val="0"/>
              <w:keepLines w:val="0"/>
              <w:pageBreakBefore w:val="0"/>
              <w:widowControl w:val="0"/>
              <w:kinsoku/>
              <w:overflowPunct/>
              <w:topLinePunct w:val="0"/>
              <w:autoSpaceDE/>
              <w:autoSpaceDN/>
              <w:bidi w:val="0"/>
              <w:jc w:val="center"/>
              <w:textAlignment w:val="auto"/>
              <w:rPr>
                <w:rFonts w:ascii="微软雅黑" w:hAnsi="微软雅黑" w:eastAsia="微软雅黑" w:cs="宋体"/>
                <w:b/>
                <w:bCs/>
                <w:color w:val="333333"/>
                <w:kern w:val="0"/>
                <w:sz w:val="22"/>
              </w:rPr>
            </w:pPr>
            <w:r>
              <w:rPr>
                <w:rFonts w:hint="eastAsia" w:ascii="微软雅黑" w:hAnsi="微软雅黑" w:eastAsia="微软雅黑" w:cs="宋体"/>
                <w:b/>
                <w:bCs/>
                <w:color w:val="333333"/>
                <w:kern w:val="0"/>
                <w:sz w:val="22"/>
              </w:rPr>
              <w:t>浏览器版本要求</w:t>
            </w:r>
          </w:p>
        </w:tc>
      </w:tr>
      <w:tr>
        <w:tblPrEx>
          <w:tblCellMar>
            <w:top w:w="0" w:type="dxa"/>
            <w:left w:w="108" w:type="dxa"/>
            <w:bottom w:w="0" w:type="dxa"/>
            <w:right w:w="108" w:type="dxa"/>
          </w:tblCellMar>
        </w:tblPrEx>
        <w:trPr>
          <w:trHeight w:val="285" w:hRule="atLeast"/>
          <w:jc w:val="center"/>
        </w:trPr>
        <w:tc>
          <w:tcPr>
            <w:tcW w:w="11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Mac</w:t>
            </w:r>
          </w:p>
        </w:tc>
        <w:tc>
          <w:tcPr>
            <w:tcW w:w="2840"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macOS 10.12</w:t>
            </w:r>
            <w:r>
              <w:rPr>
                <w:rFonts w:hint="eastAsia" w:ascii="宋体" w:hAnsi="宋体" w:cs="Arial"/>
                <w:color w:val="333333"/>
                <w:kern w:val="0"/>
                <w:sz w:val="22"/>
              </w:rPr>
              <w:t>或以上版本</w:t>
            </w: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Safari</w:t>
            </w:r>
          </w:p>
        </w:tc>
        <w:tc>
          <w:tcPr>
            <w:tcW w:w="254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Safari 11或以上版本</w:t>
            </w:r>
          </w:p>
        </w:tc>
      </w:tr>
      <w:tr>
        <w:tblPrEx>
          <w:tblCellMar>
            <w:top w:w="0" w:type="dxa"/>
            <w:left w:w="108" w:type="dxa"/>
            <w:bottom w:w="0" w:type="dxa"/>
            <w:right w:w="108" w:type="dxa"/>
          </w:tblCellMar>
        </w:tblPrEx>
        <w:trPr>
          <w:trHeight w:val="285" w:hRule="atLeast"/>
          <w:jc w:val="center"/>
        </w:trPr>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28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Chrome</w:t>
            </w:r>
          </w:p>
        </w:tc>
        <w:tc>
          <w:tcPr>
            <w:tcW w:w="254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Chrome 60或以上版本</w:t>
            </w:r>
          </w:p>
        </w:tc>
      </w:tr>
      <w:tr>
        <w:tblPrEx>
          <w:tblCellMar>
            <w:top w:w="0" w:type="dxa"/>
            <w:left w:w="108" w:type="dxa"/>
            <w:bottom w:w="0" w:type="dxa"/>
            <w:right w:w="108" w:type="dxa"/>
          </w:tblCellMar>
        </w:tblPrEx>
        <w:trPr>
          <w:trHeight w:val="285" w:hRule="atLeast"/>
          <w:jc w:val="center"/>
        </w:trPr>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28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Edge</w:t>
            </w:r>
          </w:p>
        </w:tc>
        <w:tc>
          <w:tcPr>
            <w:tcW w:w="254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Edge 80或以上版本</w:t>
            </w:r>
          </w:p>
        </w:tc>
      </w:tr>
      <w:tr>
        <w:tblPrEx>
          <w:tblCellMar>
            <w:top w:w="0" w:type="dxa"/>
            <w:left w:w="108" w:type="dxa"/>
            <w:bottom w:w="0" w:type="dxa"/>
            <w:right w:w="108" w:type="dxa"/>
          </w:tblCellMar>
        </w:tblPrEx>
        <w:trPr>
          <w:trHeight w:val="285" w:hRule="atLeast"/>
          <w:jc w:val="center"/>
        </w:trPr>
        <w:tc>
          <w:tcPr>
            <w:tcW w:w="11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Windows</w:t>
            </w:r>
          </w:p>
        </w:tc>
        <w:tc>
          <w:tcPr>
            <w:tcW w:w="284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Windows 7</w:t>
            </w:r>
            <w:r>
              <w:rPr>
                <w:rFonts w:hint="eastAsia" w:ascii="宋体" w:hAnsi="宋体" w:cs="Arial"/>
                <w:color w:val="333333"/>
                <w:kern w:val="0"/>
                <w:sz w:val="22"/>
              </w:rPr>
              <w:t>或以上版本</w:t>
            </w: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Chrome</w:t>
            </w:r>
          </w:p>
        </w:tc>
        <w:tc>
          <w:tcPr>
            <w:tcW w:w="254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Chrome 60或以上版本</w:t>
            </w:r>
          </w:p>
        </w:tc>
      </w:tr>
      <w:tr>
        <w:tblPrEx>
          <w:tblCellMar>
            <w:top w:w="0" w:type="dxa"/>
            <w:left w:w="108" w:type="dxa"/>
            <w:bottom w:w="0" w:type="dxa"/>
            <w:right w:w="108" w:type="dxa"/>
          </w:tblCellMar>
        </w:tblPrEx>
        <w:trPr>
          <w:trHeight w:val="285" w:hRule="atLeast"/>
          <w:jc w:val="center"/>
        </w:trPr>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28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Edge</w:t>
            </w:r>
          </w:p>
        </w:tc>
        <w:tc>
          <w:tcPr>
            <w:tcW w:w="254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Edge 80或以上版本</w:t>
            </w:r>
          </w:p>
        </w:tc>
      </w:tr>
    </w:tbl>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（二）考试期间将全过程使用摄像头，需确保电脑摄像头开启，无遮挡；</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（三）如使用笔记本电脑请保持电量充足，建议全程使用外接电源；</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（四）进入考试系统前，关闭电脑上与考试无关网页和软件，尤其是3</w:t>
      </w:r>
      <w:r>
        <w:rPr>
          <w:rFonts w:ascii="仿宋" w:hAnsi="仿宋" w:eastAsia="仿宋" w:cs="仿宋"/>
          <w:sz w:val="32"/>
          <w:szCs w:val="32"/>
        </w:rPr>
        <w:t>60</w:t>
      </w:r>
      <w:r>
        <w:rPr>
          <w:rFonts w:hint="eastAsia" w:ascii="仿宋" w:hAnsi="仿宋" w:eastAsia="仿宋" w:cs="仿宋"/>
          <w:sz w:val="32"/>
          <w:szCs w:val="32"/>
        </w:rPr>
        <w:t>卫士、腾讯安全管家等，以免影响考试。</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三、第二视角的监控设备</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（一）带正常上网功能的智能手机或平板设备1部，必须带有可正常工作的摄像头，用于监控测评环境；手机或设备支架；</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（二）要求安卓手机系统为安卓8以上，苹果手机使用IOS</w:t>
      </w:r>
      <w:r>
        <w:rPr>
          <w:rFonts w:ascii="仿宋" w:hAnsi="仿宋" w:eastAsia="仿宋" w:cs="仿宋"/>
          <w:sz w:val="32"/>
          <w:szCs w:val="32"/>
        </w:rPr>
        <w:t>1</w:t>
      </w:r>
      <w:r>
        <w:rPr>
          <w:rFonts w:hint="eastAsia" w:ascii="仿宋" w:hAnsi="仿宋" w:eastAsia="仿宋" w:cs="仿宋"/>
          <w:sz w:val="32"/>
          <w:szCs w:val="32"/>
        </w:rPr>
        <w:t>3及以上版本。使用4G网络或WIFI；</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（三）手机或平板支架：固定放置于学员后方45°位置，要求能够看清学员电脑屏幕、学员手部动作以及显示部分测评现场环境；</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（四）确保监考用手机电量充足，建议使用外接电源；</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（五）开启第二视角监控前，关闭与考试无关应用的提醒功能，避免来电、微信等其他应用打断监控过程，并且确保关闭定时息屏功能，保持屏幕常亮。</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四、考试场所应有稳定的网络条件，支持考试设备和监控设备同时联网</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建议考生准备4G或5G等手机移动网络作为备用网络，并事先做好调试，以便出现网络故障时迅速切换备用网络继续考试。</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rPr>
        <w:t>考试期间如发生考试设备或网络故障，故障解决后，考生可重新进入考试继续作答，故障发生之前的作答结果会保存；由于考试设备或网络故障导致考试时间的损失或无法完成考试的情况，将不会获得补时或补考的机会。</w:t>
      </w:r>
    </w:p>
    <w:p/>
    <w:sectPr>
      <w:pgSz w:w="11906" w:h="16838"/>
      <w:pgMar w:top="1417"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224C8"/>
    <w:rsid w:val="33322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2022-03-29T08:07:00Z</dcterms:created>
  <dc:creator>小猴子HYY</dc:creator>
  <cp:lastModifiedBy>小猴子HYY</cp:lastModifiedBy>
  <dcterms:modified xsi:type="dcterms:W3CDTF">2022-03-29T08:08:19Z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0F7BDD6C2D724ECA8A263C1870F94BED</vt:lpwstr>
  </property>
</Properties>
</file>