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75D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拳击项目</w:t>
      </w:r>
    </w:p>
    <w:p w14:paraId="46D10799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爱知-名古屋亚运会参赛运动员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选拔办法</w:t>
      </w:r>
    </w:p>
    <w:p w14:paraId="061BBC76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6E77B98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2026年爱知-名古屋亚运会拳击比赛定于9月21日至10月2日举办，为选拔出国内各相应级别亚运会参赛人选，并统筹考虑备战洛杉矶奥运会整体安排，制定本办法。</w:t>
      </w:r>
    </w:p>
    <w:p w14:paraId="242B6C58">
      <w:pPr>
        <w:pStyle w:val="3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选拔原则</w:t>
      </w:r>
    </w:p>
    <w:p w14:paraId="02E84441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选拔办法本着“公平、公正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、公开”和选用公廉的原则，选拔工作做到程序科学合理、过程公开透明、结果公平公正，选拔工作全程接受有关单位和部门的监督。</w:t>
      </w:r>
    </w:p>
    <w:p w14:paraId="3709A8DB">
      <w:pPr>
        <w:pStyle w:val="3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Toc98880096"/>
      <w:r>
        <w:rPr>
          <w:rFonts w:hint="eastAsia" w:ascii="黑体" w:hAnsi="黑体" w:eastAsia="黑体" w:cs="黑体"/>
        </w:rPr>
        <w:t>选拔</w:t>
      </w:r>
      <w:bookmarkEnd w:id="0"/>
      <w:r>
        <w:rPr>
          <w:rFonts w:hint="eastAsia" w:ascii="黑体" w:hAnsi="黑体" w:eastAsia="黑体" w:cs="黑体"/>
          <w:lang w:val="en-US" w:eastAsia="zh-CN"/>
        </w:rPr>
        <w:t>对象</w:t>
      </w:r>
    </w:p>
    <w:p w14:paraId="793EDE81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（一）必须坚持国家利益至上，具备强烈的爱国主义、集体主义精神和为国争光的理想信念，具有高度的组织纪律性和良好的道德品质，具备为国争光、刻苦训练、奋勇拼搏、敢赢必赢的精神风貌。 </w:t>
      </w:r>
    </w:p>
    <w:p w14:paraId="11FA8D9B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（二）为落实体育总局关于反兴奋剂工作的各项要求，确保兴奋剂事件“零出现”，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参加选拔的运动员必须是国家拳击队正式集训运动员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，服从国家拳击队管理，遵守国家体育总局各项规章制度。</w:t>
      </w:r>
    </w:p>
    <w:p w14:paraId="6B6945D9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（三）曾因兴奋剂违规被处以禁赛一年以上处罚的运动员、相关辅助人员，以及存在重大赛风赛纪违规行为的相关人员，不获得入选资格。</w:t>
      </w:r>
    </w:p>
    <w:p w14:paraId="0E82BC65">
      <w:pPr>
        <w:pStyle w:val="3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组织保障</w:t>
      </w:r>
    </w:p>
    <w:p w14:paraId="731F436F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（一）成立选拔工作组领导小组</w:t>
      </w:r>
    </w:p>
    <w:p w14:paraId="5C50AB2A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  智（体育总局拳跆中心主任）</w:t>
      </w:r>
    </w:p>
    <w:p w14:paraId="59EA8AA7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员：陈立人（中国拳击协会主席）</w:t>
      </w:r>
    </w:p>
    <w:p w14:paraId="540E5E7B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  杉（体育总局拳跆中心副主任）</w:t>
      </w:r>
    </w:p>
    <w:p w14:paraId="50C3EFA4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李春刚（体育总局拳跆中心副主任）</w:t>
      </w:r>
    </w:p>
    <w:p w14:paraId="28BF35FF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周  涛（体育总局拳跆中心国保部部长）</w:t>
      </w:r>
    </w:p>
    <w:p w14:paraId="01604F64">
      <w:pPr>
        <w:keepNext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韩  博（体育总局拳跆中心国家拳击队领队）</w:t>
      </w:r>
    </w:p>
    <w:p w14:paraId="7D35D0A9">
      <w:pPr>
        <w:pStyle w:val="9"/>
        <w:keepNext/>
        <w:pageBreakBefore w:val="0"/>
        <w:widowControl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（二）成立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国家队运动员评定小组</w:t>
      </w:r>
    </w:p>
    <w:p w14:paraId="33265771">
      <w:pPr>
        <w:pStyle w:val="9"/>
        <w:keepNext/>
        <w:pageBreakBefore w:val="0"/>
        <w:widowControl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召集人：韩  博（不参与打分）</w:t>
      </w:r>
    </w:p>
    <w:p w14:paraId="447F8E89">
      <w:pPr>
        <w:pStyle w:val="9"/>
        <w:keepNext/>
        <w:pageBreakBefore w:val="0"/>
        <w:widowControl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成  员：劳尔、卡洛斯、赵勇、雷玉平、翟玉虎、谷红、张家玮、袁茂洲、李倩</w:t>
      </w:r>
    </w:p>
    <w:p w14:paraId="0C7838AA">
      <w:pPr>
        <w:pStyle w:val="3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" w:name="_Toc98880097"/>
      <w:r>
        <w:rPr>
          <w:rFonts w:hint="eastAsia" w:ascii="黑体" w:hAnsi="黑体" w:eastAsia="黑体" w:cs="黑体"/>
        </w:rPr>
        <w:t>选拔</w:t>
      </w:r>
      <w:bookmarkEnd w:id="1"/>
      <w:r>
        <w:rPr>
          <w:rFonts w:hint="eastAsia" w:ascii="黑体" w:hAnsi="黑体" w:eastAsia="黑体" w:cs="黑体"/>
          <w:lang w:val="en-US" w:eastAsia="zh-CN"/>
        </w:rPr>
        <w:t>办法</w:t>
      </w:r>
    </w:p>
    <w:p w14:paraId="670EAAA5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选拔内容包括巴黎奥运会等重要赛事成绩积分、体能考核及综合表现等。</w:t>
      </w:r>
    </w:p>
    <w:p w14:paraId="48617008">
      <w:pPr>
        <w:keepNext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黎奥运会、第十五届全运会、2025年世锦赛、2026年亚锦赛、2026年拳击世界杯比赛作为选拔的主要赛事积分依据，如同一级别出现多位同分被选拔运动员，则通过组织国家队内部选拔赛确定正选和替补运动员。获得巴黎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奥运会前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名的运动员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同等条件下优先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获得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爱知-名古屋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亚运会参赛资格。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积分评定占选拔总成绩的70%。</w:t>
      </w:r>
    </w:p>
    <w:p w14:paraId="2693B8C1">
      <w:pPr>
        <w:keepNext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</w:rPr>
        <w:t>体能考核实行达标制，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被选拔运动员必须通过国家拳击队体能测试，且得分在优秀等次。</w:t>
      </w:r>
    </w:p>
    <w:p w14:paraId="3688D927">
      <w:pPr>
        <w:keepNext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综合表现包括运动员国际比赛经验、日常训练表现、思想素质、伤病情况进行综合评分。由队委会组成国家队运动员评定小组对运动员进行评分（综合评分办法附后）。综合表现占选拔总成绩的30%。</w:t>
      </w:r>
    </w:p>
    <w:p w14:paraId="7AF729F9">
      <w:pPr>
        <w:keepNext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如排名靠前人选在亚运会前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原因无法正常训练和参赛，为保证国家利益，经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评定小组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按选拔积分递补运动员参赛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FF222E">
      <w:pPr>
        <w:keepNext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对兴奋剂问题“零容忍”，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所有参加选拔的运动员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按照国家体育总局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接受管理监督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。</w:t>
      </w:r>
    </w:p>
    <w:p w14:paraId="32718D96">
      <w:pPr>
        <w:keepNext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遇特殊情况（如双方积分相近，但分数低的一方进步明显，竞技水平和竞技状态明显高于积分高的一方等），评定小组可以根据实际情况另行提出相应的选拔方案，经选拔工作领导小组研究通过后，报国家体育总局。</w:t>
      </w:r>
    </w:p>
    <w:p w14:paraId="4442382B">
      <w:pPr>
        <w:pStyle w:val="3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bookmarkStart w:id="2" w:name="_Toc98880098"/>
      <w:r>
        <w:rPr>
          <w:rFonts w:hint="eastAsia" w:ascii="黑体" w:hAnsi="黑体" w:eastAsia="黑体" w:cs="黑体"/>
        </w:rPr>
        <w:t>选拔程序</w:t>
      </w:r>
      <w:bookmarkEnd w:id="2"/>
    </w:p>
    <w:p w14:paraId="3747154A">
      <w:pPr>
        <w:pStyle w:val="9"/>
        <w:keepNext/>
        <w:pageBreakBefore w:val="0"/>
        <w:widowControl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评定小组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根据选拔办法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拟定初选名单，经选拔工作领导小组批准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体育总局拳跆中心党委审议后向社会公示，公示无异议报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国家体育总局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95860DB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）赛前如出现参赛人选替换等特殊情况，由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评定小组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提出运动员调整意见，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选拔工作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领导小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批准，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体育总局拳跆中心党委审议后向社会公示，公示无异议报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国家体育总局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C0BCD84">
      <w:pPr>
        <w:pStyle w:val="3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bookmarkStart w:id="3" w:name="_Toc98880099"/>
      <w:r>
        <w:rPr>
          <w:rFonts w:hint="eastAsia" w:ascii="黑体" w:hAnsi="黑体" w:eastAsia="黑体" w:cs="黑体"/>
          <w:lang w:val="en-US" w:eastAsia="zh-CN"/>
        </w:rPr>
        <w:t>选拔</w:t>
      </w:r>
      <w:r>
        <w:rPr>
          <w:rFonts w:hint="eastAsia" w:ascii="黑体" w:hAnsi="黑体" w:eastAsia="黑体" w:cs="黑体"/>
        </w:rPr>
        <w:t>监督</w:t>
      </w:r>
      <w:bookmarkEnd w:id="3"/>
    </w:p>
    <w:p w14:paraId="5D33D20E">
      <w:pPr>
        <w:keepNext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拔工作要有利于引导运动员树立社会主义核心价值观、国家培养意识，强化爱国主义、集体主义精神，本着对国家对事业负责的态度，实事求是实施选拔工作。在选拔过程中，存在弄虚作假、隐瞒伤病等情况，影响竞技水平发挥和运动成绩的，将给予国家队主管教练员、运动员及相关人员严厉处罚。</w:t>
      </w:r>
    </w:p>
    <w:p w14:paraId="3F972121">
      <w:pPr>
        <w:keepNext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拳跆中心党委另行成立选拔工作监督组。</w:t>
      </w:r>
    </w:p>
    <w:p w14:paraId="198ECED9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选拔办法和最终参赛名单将向社会公布，自觉接受国家体育总局、全国各省市体育部门以及社会各界的监督。</w:t>
      </w:r>
    </w:p>
    <w:p w14:paraId="306C0F7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35F1B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7626F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1F0CB83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拳跆中心</w:t>
      </w:r>
    </w:p>
    <w:p w14:paraId="7090974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2026年4月20日</w:t>
      </w:r>
    </w:p>
    <w:p w14:paraId="5996CC1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723DED2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BA93C7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E737EB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国内国际赛事积分办法</w:t>
      </w:r>
    </w:p>
    <w:p w14:paraId="4640FFEB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2423"/>
        <w:gridCol w:w="2423"/>
        <w:gridCol w:w="2423"/>
        <w:gridCol w:w="2425"/>
      </w:tblGrid>
      <w:tr w14:paraId="07D9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78" w:type="dxa"/>
            <w:shd w:val="clear" w:color="auto" w:fill="auto"/>
            <w:vAlign w:val="top"/>
          </w:tcPr>
          <w:p w14:paraId="32A2D5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积分赛事名称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2D3FCD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冠军（100%）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73F819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亚军（60%）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555235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第三名（40%）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E027A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第五名（25%）</w:t>
            </w:r>
          </w:p>
        </w:tc>
      </w:tr>
      <w:tr w14:paraId="7C29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78" w:type="dxa"/>
            <w:shd w:val="clear" w:color="auto" w:fill="auto"/>
            <w:vAlign w:val="top"/>
          </w:tcPr>
          <w:p w14:paraId="4F97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奥运会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77DE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27AB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759A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189F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0EEC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78" w:type="dxa"/>
            <w:shd w:val="clear" w:color="auto" w:fill="auto"/>
            <w:vAlign w:val="top"/>
          </w:tcPr>
          <w:p w14:paraId="630A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届全运会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067E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5290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20F3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189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</w:t>
            </w:r>
          </w:p>
        </w:tc>
      </w:tr>
      <w:tr w14:paraId="5AA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78" w:type="dxa"/>
            <w:shd w:val="clear" w:color="auto" w:fill="auto"/>
            <w:vAlign w:val="top"/>
          </w:tcPr>
          <w:p w14:paraId="5989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2026年亚洲拳击锦标赛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7D1B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757C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03D7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7F27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7F6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78" w:type="dxa"/>
            <w:shd w:val="clear" w:color="auto" w:fill="auto"/>
            <w:vAlign w:val="top"/>
          </w:tcPr>
          <w:p w14:paraId="3B70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2026年拳击世界杯预赛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08A6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3D6F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0A46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22CF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3.75</w:t>
            </w:r>
          </w:p>
        </w:tc>
      </w:tr>
      <w:tr w14:paraId="791F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78" w:type="dxa"/>
            <w:shd w:val="clear" w:color="auto" w:fill="auto"/>
            <w:vAlign w:val="top"/>
          </w:tcPr>
          <w:p w14:paraId="32CD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2025年世界拳联拳击世锦赛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2189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0F44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5FC5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1B5B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</w:tbl>
    <w:p w14:paraId="3E19A663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注：任何比赛中如所在级别参赛人数不足5人，取得的成绩不能获得积分。</w:t>
      </w:r>
    </w:p>
    <w:p w14:paraId="79BEC0A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F9FC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DFD995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11376D2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A7A592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运动员综合评分表</w:t>
      </w:r>
    </w:p>
    <w:p w14:paraId="3EA79B6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B598C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运动员姓名：</w:t>
      </w:r>
    </w:p>
    <w:tbl>
      <w:tblPr>
        <w:tblStyle w:val="7"/>
        <w:tblW w:w="13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79"/>
        <w:gridCol w:w="1271"/>
        <w:gridCol w:w="1767"/>
        <w:gridCol w:w="1277"/>
        <w:gridCol w:w="1219"/>
        <w:gridCol w:w="1185"/>
        <w:gridCol w:w="1280"/>
        <w:gridCol w:w="1280"/>
      </w:tblGrid>
      <w:tr w14:paraId="45D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Merge w:val="restart"/>
            <w:noWrap w:val="0"/>
            <w:vAlign w:val="top"/>
          </w:tcPr>
          <w:p w14:paraId="14270C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786C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教练员姓名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 w14:paraId="63A3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1795" w:type="dxa"/>
            <w:noWrap w:val="0"/>
            <w:vAlign w:val="top"/>
          </w:tcPr>
          <w:p w14:paraId="3CE355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国际比</w:t>
            </w:r>
          </w:p>
          <w:p w14:paraId="655212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赛经验</w:t>
            </w:r>
          </w:p>
        </w:tc>
        <w:tc>
          <w:tcPr>
            <w:tcW w:w="1284" w:type="dxa"/>
            <w:noWrap w:val="0"/>
            <w:vAlign w:val="top"/>
          </w:tcPr>
          <w:p w14:paraId="333699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训练</w:t>
            </w:r>
          </w:p>
          <w:p w14:paraId="682A62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表现</w:t>
            </w:r>
          </w:p>
        </w:tc>
        <w:tc>
          <w:tcPr>
            <w:tcW w:w="1224" w:type="dxa"/>
            <w:noWrap w:val="0"/>
            <w:vAlign w:val="top"/>
          </w:tcPr>
          <w:p w14:paraId="634B87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意志</w:t>
            </w:r>
          </w:p>
          <w:p w14:paraId="05AAB2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品质</w:t>
            </w:r>
          </w:p>
        </w:tc>
        <w:tc>
          <w:tcPr>
            <w:tcW w:w="1189" w:type="dxa"/>
            <w:noWrap w:val="0"/>
            <w:vAlign w:val="top"/>
          </w:tcPr>
          <w:p w14:paraId="7D8623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伤病</w:t>
            </w:r>
          </w:p>
          <w:p w14:paraId="34400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 w14:paraId="0CAD80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 w14:paraId="0CD358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加权后</w:t>
            </w:r>
          </w:p>
          <w:p w14:paraId="3CD42B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4DC3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Merge w:val="continue"/>
            <w:noWrap w:val="0"/>
            <w:vAlign w:val="top"/>
          </w:tcPr>
          <w:p w14:paraId="1304FA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567B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31E6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top"/>
          </w:tcPr>
          <w:p w14:paraId="58D8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noWrap w:val="0"/>
            <w:vAlign w:val="top"/>
          </w:tcPr>
          <w:p w14:paraId="554B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224" w:type="dxa"/>
            <w:noWrap w:val="0"/>
            <w:vAlign w:val="top"/>
          </w:tcPr>
          <w:p w14:paraId="5129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89" w:type="dxa"/>
            <w:noWrap w:val="0"/>
            <w:vAlign w:val="top"/>
          </w:tcPr>
          <w:p w14:paraId="333C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vMerge w:val="continue"/>
            <w:noWrap w:val="0"/>
            <w:vAlign w:val="top"/>
          </w:tcPr>
          <w:p w14:paraId="68A7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vMerge w:val="continue"/>
            <w:noWrap w:val="0"/>
            <w:vAlign w:val="top"/>
          </w:tcPr>
          <w:p w14:paraId="4BEB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5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4E858E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主教练</w:t>
            </w:r>
          </w:p>
        </w:tc>
        <w:tc>
          <w:tcPr>
            <w:tcW w:w="2016" w:type="dxa"/>
            <w:noWrap w:val="0"/>
            <w:vAlign w:val="top"/>
          </w:tcPr>
          <w:p w14:paraId="164A5F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劳尔</w:t>
            </w:r>
          </w:p>
        </w:tc>
        <w:tc>
          <w:tcPr>
            <w:tcW w:w="1128" w:type="dxa"/>
            <w:noWrap w:val="0"/>
            <w:vAlign w:val="top"/>
          </w:tcPr>
          <w:p w14:paraId="282FC9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1795" w:type="dxa"/>
            <w:noWrap w:val="0"/>
            <w:vAlign w:val="top"/>
          </w:tcPr>
          <w:p w14:paraId="7FACD9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79F314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49CA7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48E877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625B4E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CC9A3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7B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387C9D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5EF8D6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卡洛斯</w:t>
            </w:r>
          </w:p>
        </w:tc>
        <w:tc>
          <w:tcPr>
            <w:tcW w:w="1128" w:type="dxa"/>
            <w:noWrap w:val="0"/>
            <w:vAlign w:val="center"/>
          </w:tcPr>
          <w:p w14:paraId="70BC6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7B1F74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3F3A26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7C1156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26474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6658BD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4F5884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54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15F965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74F6DB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赵勇</w:t>
            </w:r>
          </w:p>
        </w:tc>
        <w:tc>
          <w:tcPr>
            <w:tcW w:w="1128" w:type="dxa"/>
            <w:noWrap w:val="0"/>
            <w:vAlign w:val="center"/>
          </w:tcPr>
          <w:p w14:paraId="6A4AF8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3D6DFB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5D0DB3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04946C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6E2CBB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25C18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5B9929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B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2D4486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709902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翟玉虎</w:t>
            </w:r>
          </w:p>
        </w:tc>
        <w:tc>
          <w:tcPr>
            <w:tcW w:w="1128" w:type="dxa"/>
            <w:noWrap w:val="0"/>
            <w:vAlign w:val="center"/>
          </w:tcPr>
          <w:p w14:paraId="3E0632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7827E4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6A6121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1C2C7B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5B6AC3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92C08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029BDB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FC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45E627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1F28C5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雷玉平</w:t>
            </w:r>
          </w:p>
        </w:tc>
        <w:tc>
          <w:tcPr>
            <w:tcW w:w="1128" w:type="dxa"/>
            <w:noWrap w:val="0"/>
            <w:vAlign w:val="center"/>
          </w:tcPr>
          <w:p w14:paraId="5017D8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197FFF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2A7339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0A18E1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4A522E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325796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758F8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A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258F96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4C7EAB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谷红</w:t>
            </w:r>
          </w:p>
        </w:tc>
        <w:tc>
          <w:tcPr>
            <w:tcW w:w="1128" w:type="dxa"/>
            <w:noWrap w:val="0"/>
            <w:vAlign w:val="center"/>
          </w:tcPr>
          <w:p w14:paraId="6F0C84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7331A5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5581E7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4E8D20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6E0BD6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76CDA6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F49A5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BD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2CA2F3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38028C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张家玮</w:t>
            </w:r>
          </w:p>
        </w:tc>
        <w:tc>
          <w:tcPr>
            <w:tcW w:w="1128" w:type="dxa"/>
            <w:noWrap w:val="0"/>
            <w:vAlign w:val="top"/>
          </w:tcPr>
          <w:p w14:paraId="168C83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31612A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46F0BB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62BC6B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426358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F0B80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8ED88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7F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59B719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53B272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袁茂洲</w:t>
            </w:r>
          </w:p>
        </w:tc>
        <w:tc>
          <w:tcPr>
            <w:tcW w:w="1128" w:type="dxa"/>
            <w:noWrap w:val="0"/>
            <w:vAlign w:val="top"/>
          </w:tcPr>
          <w:p w14:paraId="0066BD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62BA82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25E7D6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3354D4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7B4CAA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34B2FA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25557D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1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37681A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2016" w:type="dxa"/>
            <w:noWrap w:val="0"/>
            <w:vAlign w:val="top"/>
          </w:tcPr>
          <w:p w14:paraId="510355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李倩</w:t>
            </w:r>
          </w:p>
        </w:tc>
        <w:tc>
          <w:tcPr>
            <w:tcW w:w="1128" w:type="dxa"/>
            <w:noWrap w:val="0"/>
            <w:vAlign w:val="top"/>
          </w:tcPr>
          <w:p w14:paraId="434A1D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1795" w:type="dxa"/>
            <w:noWrap w:val="0"/>
            <w:vAlign w:val="top"/>
          </w:tcPr>
          <w:p w14:paraId="58157D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35CD25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6986B5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11BB0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22367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49CCA8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C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noWrap w:val="0"/>
            <w:vAlign w:val="top"/>
          </w:tcPr>
          <w:p w14:paraId="2E71EC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2016" w:type="dxa"/>
            <w:noWrap w:val="0"/>
            <w:vAlign w:val="top"/>
          </w:tcPr>
          <w:p w14:paraId="578BB4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top"/>
          </w:tcPr>
          <w:p w14:paraId="4C1112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top"/>
          </w:tcPr>
          <w:p w14:paraId="2F7D3D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60B1AA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top"/>
          </w:tcPr>
          <w:p w14:paraId="36EB21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1E3E74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61A888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top"/>
          </w:tcPr>
          <w:p w14:paraId="14CF29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8CAFF6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default"/>
          <w:highlight w:val="yellow"/>
          <w:lang w:val="en-US" w:eastAsia="zh-CN"/>
        </w:rPr>
      </w:pPr>
    </w:p>
    <w:p w14:paraId="4F530BF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EFC8C8-1410-492C-9547-722F5FEB5F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5C88EA-FF45-472A-BD75-75A4DF31BB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3629D4-69DF-49B6-8FB1-C50D7A3EFB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30E79A8-6210-4267-A7A1-82F2262DFE8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FCE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6489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6489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11337"/>
    <w:multiLevelType w:val="singleLevel"/>
    <w:tmpl w:val="9D011337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58F3AE"/>
    <w:multiLevelType w:val="singleLevel"/>
    <w:tmpl w:val="0058F3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79010E"/>
    <w:multiLevelType w:val="singleLevel"/>
    <w:tmpl w:val="077901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525C2"/>
    <w:rsid w:val="0D5E27AA"/>
    <w:rsid w:val="11202F6D"/>
    <w:rsid w:val="195D0EAA"/>
    <w:rsid w:val="2AEA4B61"/>
    <w:rsid w:val="2C2C3A0E"/>
    <w:rsid w:val="33664FA1"/>
    <w:rsid w:val="35E525C2"/>
    <w:rsid w:val="360B1E2F"/>
    <w:rsid w:val="655F2DDB"/>
    <w:rsid w:val="6AC63F9C"/>
    <w:rsid w:val="6E2E4332"/>
    <w:rsid w:val="6EBF31DC"/>
    <w:rsid w:val="712021F5"/>
    <w:rsid w:val="743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36"/>
      <w:szCs w:val="22"/>
    </w:rPr>
  </w:style>
  <w:style w:type="paragraph" w:styleId="3">
    <w:name w:val="heading 2"/>
    <w:next w:val="1"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120" w:afterLines="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A"/>
    <w:basedOn w:val="1"/>
    <w:qFormat/>
    <w:uiPriority w:val="0"/>
    <w:rPr>
      <w:rFonts w:ascii="Times New Roman" w:hAnsi="Times New Roman" w:eastAsia="Arial Unicode MS" w:cs="Arial Unicode MS"/>
      <w:color w:val="000000"/>
      <w:szCs w:val="21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f4bdd0ab-186c-4f27-927d-899c9236c007</errorID>
      <errorWord>《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117A4167</paraID>
      <start>4</start>
      <end>5</end>
      <status>ignored</status>
      <modifiedWord/>
      <trackRevisions>false</trackRevisions>
    </reviewItem>
    <reviewItem>
      <errorID>646f5ca7-0edd-460b-baee-18bb10f6b8a1</errorID>
      <errorWord>》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6199C045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905a3-b0a5-469b-82a2-6a5d068c5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421</Words>
  <Characters>471</Characters>
  <Lines>0</Lines>
  <Paragraphs>0</Paragraphs>
  <TotalTime>9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2026-04-20T03:17:00Z</dcterms:created>
  <dc:creator>ivan</dc:creator>
  <cp:lastModifiedBy>鑫鑫爱瑶瑶</cp:lastModifiedBy>
  <dcterms:modified xsi:type="dcterms:W3CDTF">2026-04-21T06:09:49Z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92CA90930E5B45519285F5C80B17F7F2_13</vt:lpwstr>
  </property>
  <property fmtid="{D5CDD505-2E9C-101B-9397-08002B2CF9AE}" pid="4" name="KSOTemplateDocerSaveRecord">
    <vt:lpwstr>eyJoZGlkIjoiZTUxYTdiNjc0Y2JmOTMxODQ2M2RiZGE4ODI0OGNhOWUiLCJ1c2VySWQiOiIzMTI1ODczMDIifQ==</vt:lpwstr>
  </property>
</Properties>
</file>