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5A" w:rsidRDefault="00692B57">
      <w:pPr>
        <w:pStyle w:val="aa"/>
        <w:spacing w:before="0" w:beforeAutospacing="0" w:after="0" w:afterAutospacing="0"/>
        <w:textAlignment w:val="auto"/>
        <w:rPr>
          <w:rFonts w:ascii="方正黑体_GBK" w:eastAsia="方正黑体_GBK" w:hAnsi="方正黑体_GBK" w:cs="方正黑体_GBK"/>
          <w:sz w:val="30"/>
          <w:szCs w:val="30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0"/>
          <w:szCs w:val="30"/>
        </w:rPr>
        <w:t>附件</w:t>
      </w:r>
    </w:p>
    <w:p w:rsidR="005B205A" w:rsidRDefault="005B205A">
      <w:pPr>
        <w:jc w:val="center"/>
        <w:textAlignment w:val="auto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B205A" w:rsidRDefault="00692B57">
      <w:pPr>
        <w:jc w:val="center"/>
        <w:textAlignment w:val="auto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全民健身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场地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设施项目遴选标准</w:t>
      </w:r>
    </w:p>
    <w:p w:rsidR="005B205A" w:rsidRDefault="005B205A">
      <w:pPr>
        <w:textAlignment w:val="auto"/>
        <w:rPr>
          <w:rFonts w:ascii="方正黑体_GBK" w:eastAsia="方正黑体_GBK" w:hAnsi="方正黑体_GBK" w:cs="方正黑体_GBK"/>
          <w:szCs w:val="30"/>
        </w:rPr>
      </w:pPr>
    </w:p>
    <w:p w:rsidR="005B205A" w:rsidRDefault="00692B57">
      <w:pPr>
        <w:textAlignment w:val="auto"/>
        <w:rPr>
          <w:szCs w:val="30"/>
        </w:rPr>
      </w:pPr>
      <w:r>
        <w:rPr>
          <w:rFonts w:hint="eastAsia"/>
          <w:szCs w:val="30"/>
        </w:rPr>
        <w:t xml:space="preserve"> </w:t>
      </w:r>
      <w:r>
        <w:rPr>
          <w:rFonts w:ascii="方正黑体_GBK" w:eastAsia="方正黑体_GBK" w:hAnsi="方正黑体_GBK" w:cs="方正黑体_GBK" w:hint="eastAsia"/>
          <w:szCs w:val="30"/>
        </w:rPr>
        <w:t xml:space="preserve">   </w:t>
      </w:r>
      <w:r>
        <w:rPr>
          <w:rFonts w:ascii="方正黑体_GBK" w:eastAsia="方正黑体_GBK" w:hAnsi="方正黑体_GBK" w:cs="方正黑体_GBK" w:hint="eastAsia"/>
          <w:szCs w:val="30"/>
        </w:rPr>
        <w:t>一、体育公园</w:t>
      </w:r>
      <w:r>
        <w:rPr>
          <w:rFonts w:hint="eastAsia"/>
          <w:szCs w:val="30"/>
        </w:rPr>
        <w:br/>
        <w:t xml:space="preserve">    </w:t>
      </w:r>
      <w:r>
        <w:rPr>
          <w:rFonts w:hint="eastAsia"/>
          <w:szCs w:val="30"/>
        </w:rPr>
        <w:t>（一）体育公园总面积不低于</w:t>
      </w:r>
      <w:r>
        <w:rPr>
          <w:rFonts w:hint="eastAsia"/>
          <w:szCs w:val="30"/>
        </w:rPr>
        <w:t>10</w:t>
      </w:r>
      <w:r>
        <w:rPr>
          <w:rFonts w:hint="eastAsia"/>
          <w:szCs w:val="30"/>
        </w:rPr>
        <w:t>万平方米，绿化率不低于</w:t>
      </w:r>
      <w:r>
        <w:rPr>
          <w:szCs w:val="30"/>
        </w:rPr>
        <w:t>65</w:t>
      </w:r>
      <w:r>
        <w:rPr>
          <w:rFonts w:hint="eastAsia"/>
          <w:szCs w:val="30"/>
        </w:rPr>
        <w:t>%</w:t>
      </w:r>
      <w:r>
        <w:rPr>
          <w:rFonts w:hint="eastAsia"/>
          <w:szCs w:val="30"/>
        </w:rPr>
        <w:t>。如果总面积包括水域面积，水域面积占比不超过</w:t>
      </w:r>
      <w:r>
        <w:rPr>
          <w:rFonts w:hint="eastAsia"/>
          <w:szCs w:val="30"/>
        </w:rPr>
        <w:t>30%</w:t>
      </w:r>
      <w:r>
        <w:rPr>
          <w:rFonts w:hint="eastAsia"/>
          <w:szCs w:val="30"/>
        </w:rPr>
        <w:t>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（二）体育公园至少要包括以下</w:t>
      </w:r>
      <w:r>
        <w:rPr>
          <w:rFonts w:hint="eastAsia"/>
          <w:szCs w:val="30"/>
        </w:rPr>
        <w:t>4</w:t>
      </w:r>
      <w:r>
        <w:rPr>
          <w:rFonts w:hint="eastAsia"/>
          <w:szCs w:val="30"/>
        </w:rPr>
        <w:t>类功</w:t>
      </w:r>
      <w:r>
        <w:rPr>
          <w:rFonts w:hint="eastAsia"/>
          <w:szCs w:val="30"/>
        </w:rPr>
        <w:t>能：一是常规球类：</w:t>
      </w:r>
      <w:r>
        <w:rPr>
          <w:rFonts w:hint="eastAsia"/>
          <w:szCs w:val="30"/>
        </w:rPr>
        <w:t>3</w:t>
      </w:r>
      <w:r>
        <w:rPr>
          <w:rFonts w:hint="eastAsia"/>
          <w:szCs w:val="30"/>
        </w:rPr>
        <w:t>人制篮球场、</w:t>
      </w:r>
      <w:r>
        <w:rPr>
          <w:rFonts w:hint="eastAsia"/>
          <w:szCs w:val="30"/>
        </w:rPr>
        <w:t>5</w:t>
      </w:r>
      <w:r>
        <w:rPr>
          <w:rFonts w:hint="eastAsia"/>
          <w:szCs w:val="30"/>
        </w:rPr>
        <w:t>人制足球场、</w:t>
      </w:r>
      <w:r>
        <w:rPr>
          <w:rFonts w:hint="eastAsia"/>
          <w:szCs w:val="30"/>
        </w:rPr>
        <w:t>7</w:t>
      </w:r>
      <w:r>
        <w:rPr>
          <w:rFonts w:hint="eastAsia"/>
          <w:szCs w:val="30"/>
        </w:rPr>
        <w:t>人制足球场、标准篮球场、门球场、乒乓球场、羽毛球场、网球场（单打）、网球场（双打）、多功能运动场地、极限运动设施等。二是步道类：健身步道。三是广场与器械类：健身广场、室外健身器械场地。四是儿童活动设施类：秋千、滑梯、平衡木、攀爬类设施、浅水池、沙坑。争取中央预算内投资支持的体育公园要同时具备以上</w:t>
      </w:r>
      <w:r>
        <w:rPr>
          <w:rFonts w:hint="eastAsia"/>
          <w:szCs w:val="30"/>
        </w:rPr>
        <w:t>4</w:t>
      </w:r>
      <w:r>
        <w:rPr>
          <w:rFonts w:hint="eastAsia"/>
          <w:szCs w:val="30"/>
        </w:rPr>
        <w:t>种功能，可以至少同时开展</w:t>
      </w:r>
      <w:r>
        <w:rPr>
          <w:rFonts w:hint="eastAsia"/>
          <w:szCs w:val="30"/>
        </w:rPr>
        <w:t>5</w:t>
      </w:r>
      <w:r>
        <w:rPr>
          <w:rFonts w:hint="eastAsia"/>
          <w:szCs w:val="30"/>
        </w:rPr>
        <w:t>种运动项目。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（三）中央预算内投资不支持体育公园内部的体育场馆建设，</w:t>
      </w:r>
      <w:r>
        <w:rPr>
          <w:rFonts w:hint="eastAsia"/>
          <w:szCs w:val="30"/>
        </w:rPr>
        <w:t>不支持室外健身器材购置（如扭腰器、健骑机、太空漫步机、单双杠、儿童秋千等</w:t>
      </w:r>
      <w:r>
        <w:rPr>
          <w:rFonts w:hint="eastAsia"/>
          <w:szCs w:val="30"/>
        </w:rPr>
        <w:t>）。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（四）体育公园在设计时要考虑具备应急避难场所等功能。鼓励建设智慧健身设施。</w:t>
      </w:r>
      <w:r>
        <w:rPr>
          <w:rFonts w:hint="eastAsia"/>
          <w:szCs w:val="30"/>
        </w:rPr>
        <w:br/>
      </w:r>
      <w:r>
        <w:rPr>
          <w:rFonts w:ascii="方正黑体_GBK" w:eastAsia="方正黑体_GBK" w:hAnsi="方正黑体_GBK" w:cs="方正黑体_GBK" w:hint="eastAsia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30"/>
        </w:rPr>
        <w:t>二、健身步道</w:t>
      </w:r>
      <w:r>
        <w:rPr>
          <w:rFonts w:hint="eastAsia"/>
          <w:szCs w:val="30"/>
        </w:rPr>
        <w:br/>
        <w:t xml:space="preserve">    </w:t>
      </w:r>
      <w:r>
        <w:rPr>
          <w:rFonts w:hint="eastAsia"/>
          <w:szCs w:val="30"/>
        </w:rPr>
        <w:t>健身步道按照运动形式</w:t>
      </w:r>
      <w:r>
        <w:rPr>
          <w:szCs w:val="30"/>
        </w:rPr>
        <w:t>主要分为登山步道、健走步道和骑行</w:t>
      </w:r>
      <w:r>
        <w:rPr>
          <w:szCs w:val="30"/>
        </w:rPr>
        <w:lastRenderedPageBreak/>
        <w:t>道。</w:t>
      </w:r>
      <w:r>
        <w:rPr>
          <w:rFonts w:hint="eastAsia"/>
          <w:szCs w:val="30"/>
        </w:rPr>
        <w:t>鼓励建设智慧健身步道。</w:t>
      </w:r>
      <w:r>
        <w:rPr>
          <w:szCs w:val="30"/>
        </w:rPr>
        <w:br/>
      </w:r>
      <w:r>
        <w:rPr>
          <w:rFonts w:hint="eastAsia"/>
          <w:szCs w:val="30"/>
        </w:rPr>
        <w:t xml:space="preserve">    </w:t>
      </w:r>
      <w:r>
        <w:rPr>
          <w:rFonts w:hint="eastAsia"/>
          <w:szCs w:val="30"/>
        </w:rPr>
        <w:t>（一）</w:t>
      </w:r>
      <w:r>
        <w:rPr>
          <w:szCs w:val="30"/>
        </w:rPr>
        <w:t>健走步道</w:t>
      </w:r>
      <w:r>
        <w:rPr>
          <w:rFonts w:hint="eastAsia"/>
          <w:szCs w:val="30"/>
        </w:rPr>
        <w:t>，</w:t>
      </w:r>
      <w:r>
        <w:rPr>
          <w:szCs w:val="30"/>
        </w:rPr>
        <w:t>适用于街道、社区、滨河道、公园等的步道。道路本体的宽度不少于</w:t>
      </w:r>
      <w:r>
        <w:rPr>
          <w:szCs w:val="30"/>
        </w:rPr>
        <w:t>2m</w:t>
      </w:r>
      <w:r>
        <w:rPr>
          <w:szCs w:val="30"/>
        </w:rPr>
        <w:t>。</w:t>
      </w:r>
      <w:r>
        <w:rPr>
          <w:rFonts w:hint="eastAsia"/>
          <w:szCs w:val="30"/>
        </w:rPr>
        <w:t>单个项目道路长度原则上不低于</w:t>
      </w:r>
      <w:r>
        <w:rPr>
          <w:rFonts w:hint="eastAsia"/>
          <w:szCs w:val="30"/>
        </w:rPr>
        <w:t>5km</w:t>
      </w:r>
      <w:r>
        <w:rPr>
          <w:rFonts w:hint="eastAsia"/>
          <w:szCs w:val="30"/>
        </w:rPr>
        <w:t>。</w:t>
      </w:r>
      <w:r>
        <w:rPr>
          <w:szCs w:val="30"/>
        </w:rPr>
        <w:t>道路面层</w:t>
      </w:r>
      <w:r>
        <w:rPr>
          <w:rFonts w:hint="eastAsia"/>
          <w:szCs w:val="30"/>
        </w:rPr>
        <w:t>应采用</w:t>
      </w:r>
      <w:r>
        <w:rPr>
          <w:szCs w:val="30"/>
        </w:rPr>
        <w:t>合成材料、彩色沥青、木制</w:t>
      </w:r>
      <w:r>
        <w:rPr>
          <w:rFonts w:hint="eastAsia"/>
          <w:szCs w:val="30"/>
        </w:rPr>
        <w:t>材料</w:t>
      </w:r>
      <w:r>
        <w:rPr>
          <w:szCs w:val="30"/>
        </w:rPr>
        <w:t>等。标识系统应有信息标识、指向标识和警示标识</w:t>
      </w:r>
      <w:r>
        <w:rPr>
          <w:rFonts w:hint="eastAsia"/>
          <w:szCs w:val="30"/>
        </w:rPr>
        <w:t>等。</w:t>
      </w:r>
      <w:r>
        <w:rPr>
          <w:rFonts w:hint="eastAsia"/>
          <w:szCs w:val="30"/>
        </w:rPr>
        <w:t xml:space="preserve">    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（二）</w:t>
      </w:r>
      <w:r>
        <w:rPr>
          <w:szCs w:val="30"/>
        </w:rPr>
        <w:t>登山步道</w:t>
      </w:r>
      <w:r>
        <w:rPr>
          <w:rFonts w:hint="eastAsia"/>
          <w:szCs w:val="30"/>
        </w:rPr>
        <w:t>，</w:t>
      </w:r>
      <w:r>
        <w:rPr>
          <w:szCs w:val="30"/>
        </w:rPr>
        <w:t>适用于</w:t>
      </w:r>
      <w:r>
        <w:rPr>
          <w:rFonts w:hint="eastAsia"/>
          <w:szCs w:val="30"/>
        </w:rPr>
        <w:t>在可开展登山健身运动区域</w:t>
      </w:r>
      <w:r>
        <w:rPr>
          <w:szCs w:val="30"/>
        </w:rPr>
        <w:t>的步道</w:t>
      </w:r>
      <w:r>
        <w:rPr>
          <w:rFonts w:hint="eastAsia"/>
          <w:szCs w:val="30"/>
        </w:rPr>
        <w:t>。</w:t>
      </w:r>
      <w:r>
        <w:rPr>
          <w:szCs w:val="30"/>
        </w:rPr>
        <w:t>道路本体宽度</w:t>
      </w:r>
      <w:r>
        <w:rPr>
          <w:rFonts w:hint="eastAsia"/>
          <w:szCs w:val="30"/>
        </w:rPr>
        <w:t>不低于</w:t>
      </w:r>
      <w:r>
        <w:rPr>
          <w:rFonts w:hint="eastAsia"/>
          <w:szCs w:val="30"/>
        </w:rPr>
        <w:t>1.5</w:t>
      </w:r>
      <w:r>
        <w:rPr>
          <w:szCs w:val="30"/>
        </w:rPr>
        <w:t>m</w:t>
      </w:r>
      <w:r>
        <w:rPr>
          <w:rFonts w:hint="eastAsia"/>
          <w:szCs w:val="30"/>
        </w:rPr>
        <w:t>（受山势地形限制，局部地区</w:t>
      </w:r>
      <w:r>
        <w:rPr>
          <w:szCs w:val="30"/>
        </w:rPr>
        <w:t>最小宽度不</w:t>
      </w:r>
      <w:r>
        <w:rPr>
          <w:rFonts w:hint="eastAsia"/>
          <w:szCs w:val="30"/>
        </w:rPr>
        <w:t>低</w:t>
      </w:r>
      <w:r>
        <w:rPr>
          <w:szCs w:val="30"/>
        </w:rPr>
        <w:t>于</w:t>
      </w:r>
      <w:r>
        <w:rPr>
          <w:rFonts w:hint="eastAsia"/>
          <w:szCs w:val="30"/>
        </w:rPr>
        <w:t>1</w:t>
      </w:r>
      <w:r>
        <w:rPr>
          <w:szCs w:val="30"/>
        </w:rPr>
        <w:t>m</w:t>
      </w:r>
      <w:r>
        <w:rPr>
          <w:rFonts w:hint="eastAsia"/>
          <w:szCs w:val="30"/>
        </w:rPr>
        <w:t>）</w:t>
      </w:r>
      <w:r>
        <w:rPr>
          <w:szCs w:val="30"/>
        </w:rPr>
        <w:t>。</w:t>
      </w:r>
      <w:r>
        <w:rPr>
          <w:rFonts w:hint="eastAsia"/>
          <w:szCs w:val="30"/>
        </w:rPr>
        <w:t>单个项目长度原则上不低于</w:t>
      </w:r>
      <w:r>
        <w:rPr>
          <w:rFonts w:hint="eastAsia"/>
          <w:szCs w:val="30"/>
        </w:rPr>
        <w:t>10km</w:t>
      </w:r>
      <w:r>
        <w:rPr>
          <w:rFonts w:hint="eastAsia"/>
          <w:szCs w:val="30"/>
        </w:rPr>
        <w:t>。</w:t>
      </w:r>
      <w:r>
        <w:rPr>
          <w:szCs w:val="30"/>
        </w:rPr>
        <w:t>道路面层</w:t>
      </w:r>
      <w:r>
        <w:rPr>
          <w:rFonts w:hint="eastAsia"/>
          <w:szCs w:val="30"/>
        </w:rPr>
        <w:t>应</w:t>
      </w:r>
      <w:r>
        <w:rPr>
          <w:szCs w:val="30"/>
        </w:rPr>
        <w:t>以原地土石道为主，辅以彩色沥青道、砾石道、间隔石道、木栈道等。标识系统应有导示标识、警示标识、劝示标识和路书</w:t>
      </w:r>
      <w:r>
        <w:rPr>
          <w:rFonts w:hint="eastAsia"/>
          <w:szCs w:val="30"/>
        </w:rPr>
        <w:t>等</w:t>
      </w:r>
      <w:r>
        <w:rPr>
          <w:szCs w:val="30"/>
        </w:rPr>
        <w:t>。</w:t>
      </w:r>
    </w:p>
    <w:p w:rsidR="005B205A" w:rsidRDefault="00692B57">
      <w:pPr>
        <w:ind w:firstLine="600"/>
        <w:textAlignment w:val="auto"/>
        <w:rPr>
          <w:rFonts w:eastAsia="仿宋_GB2312"/>
          <w:szCs w:val="30"/>
        </w:rPr>
      </w:pPr>
      <w:r>
        <w:rPr>
          <w:rFonts w:hint="eastAsia"/>
          <w:szCs w:val="30"/>
        </w:rPr>
        <w:t>（三）</w:t>
      </w:r>
      <w:r>
        <w:rPr>
          <w:rFonts w:hint="eastAsia"/>
          <w:szCs w:val="30"/>
        </w:rPr>
        <w:t>骑行道</w:t>
      </w:r>
      <w:r>
        <w:rPr>
          <w:rFonts w:hint="eastAsia"/>
          <w:szCs w:val="30"/>
        </w:rPr>
        <w:t>，</w:t>
      </w:r>
      <w:r>
        <w:rPr>
          <w:rFonts w:hint="eastAsia"/>
          <w:szCs w:val="30"/>
        </w:rPr>
        <w:t>适用于符合骑行运动要求的街道、社区、滨河道、公园等</w:t>
      </w:r>
      <w:r>
        <w:rPr>
          <w:rFonts w:hint="eastAsia"/>
          <w:szCs w:val="30"/>
        </w:rPr>
        <w:t>的骑行道</w:t>
      </w:r>
      <w:r>
        <w:rPr>
          <w:rFonts w:hint="eastAsia"/>
          <w:szCs w:val="30"/>
        </w:rPr>
        <w:t>。</w:t>
      </w:r>
      <w:r>
        <w:rPr>
          <w:szCs w:val="30"/>
        </w:rPr>
        <w:t>骑行道道路本体单行线宽度不</w:t>
      </w:r>
      <w:r>
        <w:rPr>
          <w:szCs w:val="30"/>
        </w:rPr>
        <w:t>少</w:t>
      </w:r>
      <w:r>
        <w:rPr>
          <w:szCs w:val="30"/>
        </w:rPr>
        <w:t>于</w:t>
      </w:r>
      <w:r>
        <w:rPr>
          <w:rFonts w:hint="eastAsia"/>
          <w:szCs w:val="30"/>
        </w:rPr>
        <w:t>2</w:t>
      </w:r>
      <w:r>
        <w:rPr>
          <w:szCs w:val="30"/>
        </w:rPr>
        <w:t>m</w:t>
      </w:r>
      <w:r>
        <w:rPr>
          <w:rFonts w:hint="eastAsia"/>
          <w:szCs w:val="30"/>
        </w:rPr>
        <w:t>。单个项目骑行道道路长度原则上不低于</w:t>
      </w:r>
      <w:r>
        <w:rPr>
          <w:rFonts w:hint="eastAsia"/>
          <w:szCs w:val="30"/>
        </w:rPr>
        <w:t>15km</w:t>
      </w:r>
      <w:r>
        <w:rPr>
          <w:rFonts w:hint="eastAsia"/>
          <w:szCs w:val="30"/>
        </w:rPr>
        <w:t>。</w:t>
      </w:r>
      <w:r>
        <w:rPr>
          <w:szCs w:val="30"/>
        </w:rPr>
        <w:t>道路面层可用彩色沥青、合成材料等。标识系统应有指示标识和</w:t>
      </w:r>
      <w:r>
        <w:rPr>
          <w:rFonts w:hint="eastAsia"/>
          <w:szCs w:val="30"/>
        </w:rPr>
        <w:t>速度</w:t>
      </w:r>
      <w:r>
        <w:rPr>
          <w:szCs w:val="30"/>
        </w:rPr>
        <w:t>警示标识</w:t>
      </w:r>
      <w:r>
        <w:rPr>
          <w:rFonts w:hint="eastAsia"/>
          <w:szCs w:val="30"/>
        </w:rPr>
        <w:t>等。</w:t>
      </w:r>
      <w:r>
        <w:rPr>
          <w:szCs w:val="30"/>
        </w:rPr>
        <w:t>骑行道不可与机动车道混用。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ascii="方正黑体_GBK" w:eastAsia="方正黑体_GBK" w:hAnsi="方正黑体_GBK" w:cs="方正黑体_GBK" w:hint="eastAsia"/>
          <w:szCs w:val="30"/>
        </w:rPr>
        <w:t>三、全民健身中心（小型体育综合体）</w:t>
      </w:r>
      <w:r>
        <w:rPr>
          <w:rFonts w:hint="eastAsia"/>
          <w:szCs w:val="30"/>
        </w:rPr>
        <w:br/>
        <w:t xml:space="preserve">    </w:t>
      </w:r>
      <w:r>
        <w:rPr>
          <w:rFonts w:hint="eastAsia"/>
          <w:szCs w:val="30"/>
        </w:rPr>
        <w:t>全</w:t>
      </w:r>
      <w:r>
        <w:rPr>
          <w:szCs w:val="30"/>
        </w:rPr>
        <w:t>民健身中心（小型体育综合体）以室内场地为主，可室内外场地结合。室内建筑面积原则上不超过</w:t>
      </w:r>
      <w:r>
        <w:rPr>
          <w:szCs w:val="30"/>
        </w:rPr>
        <w:t>10000</w:t>
      </w:r>
      <w:r>
        <w:rPr>
          <w:szCs w:val="30"/>
        </w:rPr>
        <w:t>㎡，主要包括运动健身功能区和配套服务功能区。运动健身功能区建筑面积不少于总建筑面积的</w:t>
      </w:r>
      <w:r>
        <w:rPr>
          <w:szCs w:val="30"/>
        </w:rPr>
        <w:t>50</w:t>
      </w:r>
      <w:r>
        <w:rPr>
          <w:rFonts w:hint="eastAsia"/>
          <w:szCs w:val="30"/>
        </w:rPr>
        <w:t>%</w:t>
      </w:r>
      <w:r>
        <w:rPr>
          <w:szCs w:val="30"/>
        </w:rPr>
        <w:t>，不设固定看台（座席），且至少包含</w:t>
      </w:r>
      <w:r>
        <w:rPr>
          <w:rFonts w:hint="eastAsia"/>
          <w:szCs w:val="30"/>
        </w:rPr>
        <w:t>4</w:t>
      </w:r>
      <w:r>
        <w:rPr>
          <w:szCs w:val="30"/>
        </w:rPr>
        <w:t>类（含</w:t>
      </w:r>
      <w:r>
        <w:rPr>
          <w:rFonts w:hint="eastAsia"/>
          <w:szCs w:val="30"/>
        </w:rPr>
        <w:t>4</w:t>
      </w:r>
      <w:r>
        <w:rPr>
          <w:szCs w:val="30"/>
        </w:rPr>
        <w:t>类）以上运动项目（如球类、健身操房、器械健身、游泳等）</w:t>
      </w:r>
      <w:r>
        <w:rPr>
          <w:rFonts w:hint="eastAsia"/>
          <w:szCs w:val="30"/>
        </w:rPr>
        <w:t>。</w:t>
      </w:r>
      <w:r>
        <w:rPr>
          <w:szCs w:val="30"/>
        </w:rPr>
        <w:t>配套服务功能区主要包括必要的餐</w:t>
      </w:r>
      <w:r>
        <w:rPr>
          <w:rFonts w:hint="eastAsia"/>
          <w:szCs w:val="30"/>
        </w:rPr>
        <w:t>饮配套服务、商业配套</w:t>
      </w:r>
      <w:r>
        <w:rPr>
          <w:rFonts w:hint="eastAsia"/>
          <w:szCs w:val="30"/>
        </w:rPr>
        <w:lastRenderedPageBreak/>
        <w:t>服务、场馆管理办公以及卫生间、医务室等配套设施等。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在建设室内场地的基础上，可配套建设室外健身活动场地。室内外健身活动场地均应包含活动区和缓冲区，室内健身活动场地面层应根据健身</w:t>
      </w:r>
      <w:r>
        <w:rPr>
          <w:rFonts w:hint="eastAsia"/>
          <w:szCs w:val="30"/>
        </w:rPr>
        <w:t>项目选择木地板、合成材料或专用地垫等。室外健身场地面层可根据健身项目选择合成材料、人造草坪或悬浮拼装地板等。室内外场地需配备照明系统，室内场地水平照度不低于</w:t>
      </w:r>
      <w:r>
        <w:rPr>
          <w:rFonts w:hint="eastAsia"/>
          <w:szCs w:val="30"/>
        </w:rPr>
        <w:t>200lx</w:t>
      </w:r>
      <w:r>
        <w:rPr>
          <w:rFonts w:hint="eastAsia"/>
          <w:szCs w:val="30"/>
        </w:rPr>
        <w:t>，室外场地水平照度不低于</w:t>
      </w:r>
      <w:r>
        <w:rPr>
          <w:rFonts w:hint="eastAsia"/>
          <w:szCs w:val="30"/>
        </w:rPr>
        <w:t>150lx</w:t>
      </w:r>
      <w:r>
        <w:rPr>
          <w:rFonts w:hint="eastAsia"/>
          <w:szCs w:val="30"/>
        </w:rPr>
        <w:t>。</w:t>
      </w:r>
      <w:r>
        <w:rPr>
          <w:rFonts w:hint="eastAsia"/>
          <w:szCs w:val="30"/>
        </w:rPr>
        <w:t>全民健身中心（小型体育综合体）在设计时要考虑具备改造为临时方舱医院等功能。鼓励建设智慧健身中心。</w:t>
      </w:r>
    </w:p>
    <w:p w:rsidR="005B205A" w:rsidRDefault="00692B57">
      <w:pPr>
        <w:ind w:firstLine="600"/>
        <w:textAlignment w:val="auto"/>
        <w:rPr>
          <w:szCs w:val="30"/>
        </w:rPr>
      </w:pPr>
      <w:r>
        <w:rPr>
          <w:rFonts w:hint="eastAsia"/>
          <w:szCs w:val="30"/>
        </w:rPr>
        <w:t>中央预算内资金不支持餐饮配套服务、商业配套服务的装饰装修工程、水电气安装工程和设施设备安装等。</w:t>
      </w:r>
    </w:p>
    <w:p w:rsidR="005B205A" w:rsidRDefault="00692B57">
      <w:pPr>
        <w:textAlignment w:val="auto"/>
        <w:rPr>
          <w:szCs w:val="30"/>
        </w:rPr>
      </w:pPr>
      <w:r>
        <w:rPr>
          <w:rFonts w:hint="eastAsia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30"/>
        </w:rPr>
        <w:t>四、公共体育场中标准田径跑道和足球场</w:t>
      </w:r>
      <w:r>
        <w:rPr>
          <w:rFonts w:hint="eastAsia"/>
          <w:szCs w:val="30"/>
        </w:rPr>
        <w:br/>
        <w:t xml:space="preserve">    </w:t>
      </w:r>
      <w:r>
        <w:rPr>
          <w:rFonts w:hint="eastAsia"/>
          <w:szCs w:val="30"/>
        </w:rPr>
        <w:t>公共体育场</w:t>
      </w:r>
      <w:r>
        <w:rPr>
          <w:rFonts w:hint="eastAsia"/>
          <w:szCs w:val="30"/>
        </w:rPr>
        <w:t>中</w:t>
      </w:r>
      <w:r>
        <w:rPr>
          <w:szCs w:val="30"/>
        </w:rPr>
        <w:t>标准田径跑道和</w:t>
      </w:r>
      <w:r>
        <w:rPr>
          <w:rFonts w:hint="eastAsia"/>
          <w:szCs w:val="30"/>
        </w:rPr>
        <w:t>标准</w:t>
      </w:r>
      <w:r>
        <w:rPr>
          <w:szCs w:val="30"/>
        </w:rPr>
        <w:t>足球场地</w:t>
      </w:r>
      <w:r>
        <w:rPr>
          <w:rFonts w:hint="eastAsia"/>
          <w:szCs w:val="30"/>
        </w:rPr>
        <w:t>，</w:t>
      </w:r>
      <w:r>
        <w:rPr>
          <w:szCs w:val="30"/>
        </w:rPr>
        <w:t>标准田径跑道周长为</w:t>
      </w:r>
      <w:r>
        <w:rPr>
          <w:szCs w:val="30"/>
        </w:rPr>
        <w:t>400m</w:t>
      </w:r>
      <w:r>
        <w:rPr>
          <w:szCs w:val="30"/>
        </w:rPr>
        <w:t>，弯道半径为</w:t>
      </w:r>
      <w:r>
        <w:rPr>
          <w:szCs w:val="30"/>
        </w:rPr>
        <w:t>36</w:t>
      </w:r>
      <w:r>
        <w:rPr>
          <w:rFonts w:hint="eastAsia"/>
          <w:szCs w:val="30"/>
        </w:rPr>
        <w:t>.</w:t>
      </w:r>
      <w:r>
        <w:rPr>
          <w:szCs w:val="30"/>
        </w:rPr>
        <w:t>5m</w:t>
      </w:r>
      <w:r>
        <w:rPr>
          <w:szCs w:val="30"/>
        </w:rPr>
        <w:t>，两圆心距</w:t>
      </w:r>
      <w:r>
        <w:rPr>
          <w:rFonts w:hint="eastAsia"/>
          <w:szCs w:val="30"/>
        </w:rPr>
        <w:t>（</w:t>
      </w:r>
      <w:r>
        <w:rPr>
          <w:szCs w:val="30"/>
        </w:rPr>
        <w:t>直段</w:t>
      </w:r>
      <w:r>
        <w:rPr>
          <w:rFonts w:hint="eastAsia"/>
          <w:szCs w:val="30"/>
        </w:rPr>
        <w:t>）</w:t>
      </w:r>
      <w:r>
        <w:rPr>
          <w:szCs w:val="30"/>
        </w:rPr>
        <w:t>为</w:t>
      </w:r>
      <w:r>
        <w:rPr>
          <w:szCs w:val="30"/>
        </w:rPr>
        <w:t>84</w:t>
      </w:r>
      <w:r>
        <w:rPr>
          <w:rFonts w:hint="eastAsia"/>
          <w:szCs w:val="30"/>
        </w:rPr>
        <w:t>.</w:t>
      </w:r>
      <w:r>
        <w:rPr>
          <w:szCs w:val="30"/>
        </w:rPr>
        <w:t>39m</w:t>
      </w:r>
      <w:r>
        <w:rPr>
          <w:szCs w:val="30"/>
        </w:rPr>
        <w:t>；环形跑道</w:t>
      </w:r>
      <w:r>
        <w:rPr>
          <w:szCs w:val="30"/>
        </w:rPr>
        <w:t>8</w:t>
      </w:r>
      <w:r>
        <w:rPr>
          <w:szCs w:val="30"/>
        </w:rPr>
        <w:t>条，直跑道</w:t>
      </w:r>
      <w:r>
        <w:rPr>
          <w:szCs w:val="30"/>
        </w:rPr>
        <w:t>8</w:t>
      </w:r>
      <w:r>
        <w:rPr>
          <w:szCs w:val="30"/>
        </w:rPr>
        <w:t>条</w:t>
      </w:r>
      <w:r>
        <w:rPr>
          <w:rFonts w:hint="eastAsia"/>
          <w:szCs w:val="30"/>
        </w:rPr>
        <w:t>—</w:t>
      </w:r>
      <w:r>
        <w:rPr>
          <w:szCs w:val="30"/>
        </w:rPr>
        <w:t>10</w:t>
      </w:r>
      <w:r>
        <w:rPr>
          <w:szCs w:val="30"/>
        </w:rPr>
        <w:t>条</w:t>
      </w:r>
      <w:r>
        <w:rPr>
          <w:rFonts w:hint="eastAsia"/>
          <w:szCs w:val="30"/>
        </w:rPr>
        <w:t>，</w:t>
      </w:r>
      <w:r>
        <w:rPr>
          <w:szCs w:val="30"/>
        </w:rPr>
        <w:t>每条跑道宽</w:t>
      </w:r>
      <w:r>
        <w:rPr>
          <w:rFonts w:hint="eastAsia"/>
          <w:szCs w:val="30"/>
        </w:rPr>
        <w:t>度不低于</w:t>
      </w:r>
      <w:r>
        <w:rPr>
          <w:szCs w:val="30"/>
        </w:rPr>
        <w:t>1</w:t>
      </w:r>
      <w:r>
        <w:rPr>
          <w:rFonts w:hint="eastAsia"/>
          <w:szCs w:val="30"/>
        </w:rPr>
        <w:t>.</w:t>
      </w:r>
      <w:r>
        <w:rPr>
          <w:szCs w:val="30"/>
        </w:rPr>
        <w:t>22m</w:t>
      </w:r>
      <w:r>
        <w:rPr>
          <w:szCs w:val="30"/>
        </w:rPr>
        <w:t>。</w:t>
      </w:r>
      <w:r>
        <w:rPr>
          <w:rFonts w:hint="eastAsia"/>
          <w:szCs w:val="30"/>
        </w:rPr>
        <w:t>标准</w:t>
      </w:r>
      <w:r>
        <w:rPr>
          <w:rFonts w:hint="eastAsia"/>
          <w:szCs w:val="30"/>
        </w:rPr>
        <w:t>足球场地按照</w:t>
      </w:r>
      <w:r>
        <w:rPr>
          <w:szCs w:val="30"/>
        </w:rPr>
        <w:t>11</w:t>
      </w:r>
      <w:r>
        <w:rPr>
          <w:szCs w:val="30"/>
        </w:rPr>
        <w:t>人制标准足球场</w:t>
      </w:r>
      <w:r>
        <w:rPr>
          <w:rFonts w:hint="eastAsia"/>
          <w:szCs w:val="30"/>
        </w:rPr>
        <w:t>设置。</w:t>
      </w:r>
    </w:p>
    <w:p w:rsidR="005B205A" w:rsidRDefault="00692B57">
      <w:pPr>
        <w:ind w:firstLineChars="200" w:firstLine="600"/>
        <w:textAlignment w:val="auto"/>
        <w:rPr>
          <w:szCs w:val="30"/>
        </w:rPr>
      </w:pPr>
      <w:r>
        <w:rPr>
          <w:rFonts w:ascii="方正黑体_GBK" w:eastAsia="方正黑体_GBK" w:hAnsi="方正黑体_GBK" w:cs="方正黑体_GBK" w:hint="eastAsia"/>
          <w:szCs w:val="30"/>
        </w:rPr>
        <w:t>五、社会足球场地</w:t>
      </w:r>
      <w:r>
        <w:rPr>
          <w:rFonts w:hint="eastAsia"/>
          <w:szCs w:val="30"/>
        </w:rPr>
        <w:br/>
        <w:t xml:space="preserve">    </w:t>
      </w:r>
      <w:r>
        <w:rPr>
          <w:rFonts w:hint="eastAsia"/>
          <w:szCs w:val="30"/>
        </w:rPr>
        <w:t>社会</w:t>
      </w:r>
      <w:r>
        <w:rPr>
          <w:szCs w:val="30"/>
        </w:rPr>
        <w:t>足球场地根据规格分为</w:t>
      </w:r>
      <w:r>
        <w:rPr>
          <w:szCs w:val="30"/>
        </w:rPr>
        <w:t>11</w:t>
      </w:r>
      <w:r>
        <w:rPr>
          <w:szCs w:val="30"/>
        </w:rPr>
        <w:t>人制标准足球场</w:t>
      </w:r>
      <w:r>
        <w:rPr>
          <w:szCs w:val="30"/>
        </w:rPr>
        <w:t>地</w:t>
      </w:r>
      <w:r>
        <w:rPr>
          <w:szCs w:val="30"/>
        </w:rPr>
        <w:t>、</w:t>
      </w:r>
      <w:r>
        <w:rPr>
          <w:szCs w:val="30"/>
        </w:rPr>
        <w:t>7</w:t>
      </w:r>
      <w:r>
        <w:rPr>
          <w:szCs w:val="30"/>
        </w:rPr>
        <w:t>人制</w:t>
      </w:r>
      <w:r>
        <w:rPr>
          <w:szCs w:val="30"/>
        </w:rPr>
        <w:t>（</w:t>
      </w:r>
      <w:r>
        <w:rPr>
          <w:szCs w:val="30"/>
        </w:rPr>
        <w:t>8</w:t>
      </w:r>
      <w:r>
        <w:rPr>
          <w:szCs w:val="30"/>
        </w:rPr>
        <w:t>人制）、</w:t>
      </w:r>
      <w:r>
        <w:rPr>
          <w:rFonts w:hint="eastAsia"/>
          <w:szCs w:val="30"/>
        </w:rPr>
        <w:t>5</w:t>
      </w:r>
      <w:r>
        <w:rPr>
          <w:szCs w:val="30"/>
        </w:rPr>
        <w:t>人制</w:t>
      </w:r>
      <w:r>
        <w:rPr>
          <w:szCs w:val="30"/>
        </w:rPr>
        <w:t>非标准</w:t>
      </w:r>
      <w:r>
        <w:rPr>
          <w:szCs w:val="30"/>
        </w:rPr>
        <w:t>足球场</w:t>
      </w:r>
      <w:r>
        <w:rPr>
          <w:szCs w:val="30"/>
        </w:rPr>
        <w:t>地</w:t>
      </w:r>
      <w:r>
        <w:rPr>
          <w:szCs w:val="30"/>
        </w:rPr>
        <w:t>。</w:t>
      </w:r>
    </w:p>
    <w:p w:rsidR="005B205A" w:rsidRDefault="00692B57">
      <w:pPr>
        <w:ind w:firstLineChars="200" w:firstLine="600"/>
        <w:textAlignment w:val="auto"/>
        <w:rPr>
          <w:rFonts w:eastAsia="仿宋_GB2312"/>
          <w:szCs w:val="30"/>
        </w:rPr>
      </w:pPr>
      <w:r>
        <w:rPr>
          <w:rFonts w:ascii="方正仿宋_GBK" w:hint="eastAsia"/>
          <w:szCs w:val="30"/>
        </w:rPr>
        <w:t>（一）十一人制标准足球场。</w:t>
      </w:r>
      <w:r>
        <w:rPr>
          <w:szCs w:val="30"/>
        </w:rPr>
        <w:t>场地比赛区（划线区）不小于</w:t>
      </w:r>
      <w:r>
        <w:rPr>
          <w:rFonts w:ascii="仿宋" w:eastAsia="仿宋" w:hAnsi="仿宋" w:cs="仿宋" w:hint="eastAsia"/>
          <w:szCs w:val="30"/>
        </w:rPr>
        <w:t>90</w:t>
      </w:r>
      <w:r>
        <w:rPr>
          <w:rFonts w:ascii="汉仪细圆B5" w:eastAsia="汉仪细圆B5" w:hAnsi="汉仪细圆B5" w:cs="汉仪细圆B5" w:hint="eastAsia"/>
          <w:szCs w:val="30"/>
        </w:rPr>
        <w:t>×</w:t>
      </w:r>
      <w:r>
        <w:rPr>
          <w:rFonts w:ascii="汉仪细圆B5" w:eastAsia="汉仪细圆B5" w:hAnsi="汉仪细圆B5" w:cs="汉仪细圆B5"/>
          <w:szCs w:val="30"/>
        </w:rPr>
        <w:t>45</w:t>
      </w:r>
      <w:r>
        <w:rPr>
          <w:rFonts w:ascii="汉仪细圆B5" w:eastAsia="汉仪细圆B5" w:hAnsi="汉仪细圆B5" w:cs="汉仪细圆B5"/>
          <w:szCs w:val="30"/>
        </w:rPr>
        <w:t>米</w:t>
      </w:r>
      <w:r>
        <w:rPr>
          <w:szCs w:val="30"/>
        </w:rPr>
        <w:t>。可设置在田径场地内，也可独立设置。应提供较比赛场地更大的草坪延展区，周围区域范围应满足安全缓冲和竞赛工</w:t>
      </w:r>
      <w:r>
        <w:rPr>
          <w:szCs w:val="30"/>
        </w:rPr>
        <w:lastRenderedPageBreak/>
        <w:t>作的需要。为了便于开展群众性和青少年足球运动，可以将标准足球场划分为两个非标准足球场使用。</w:t>
      </w:r>
    </w:p>
    <w:p w:rsidR="005B205A" w:rsidRDefault="00692B57">
      <w:pPr>
        <w:ind w:firstLineChars="200" w:firstLine="600"/>
        <w:textAlignment w:val="auto"/>
        <w:rPr>
          <w:szCs w:val="30"/>
        </w:rPr>
      </w:pPr>
      <w:r>
        <w:rPr>
          <w:rFonts w:ascii="方正仿宋_GBK" w:hint="eastAsia"/>
          <w:szCs w:val="30"/>
        </w:rPr>
        <w:t>（二）非标准</w:t>
      </w:r>
      <w:r>
        <w:rPr>
          <w:rFonts w:hint="eastAsia"/>
          <w:szCs w:val="30"/>
        </w:rPr>
        <w:t>足球场</w:t>
      </w:r>
      <w:r>
        <w:rPr>
          <w:rFonts w:hint="eastAsia"/>
          <w:szCs w:val="30"/>
        </w:rPr>
        <w:t>。</w:t>
      </w:r>
      <w:r>
        <w:rPr>
          <w:szCs w:val="30"/>
        </w:rPr>
        <w:t>7</w:t>
      </w:r>
      <w:r>
        <w:rPr>
          <w:szCs w:val="30"/>
        </w:rPr>
        <w:t>人制</w:t>
      </w: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8</w:t>
      </w:r>
      <w:r>
        <w:rPr>
          <w:rFonts w:hint="eastAsia"/>
          <w:szCs w:val="30"/>
        </w:rPr>
        <w:t>人制）</w:t>
      </w:r>
      <w:r>
        <w:rPr>
          <w:szCs w:val="30"/>
        </w:rPr>
        <w:t>足球场</w:t>
      </w:r>
      <w:r>
        <w:rPr>
          <w:rFonts w:hint="eastAsia"/>
          <w:szCs w:val="30"/>
        </w:rPr>
        <w:t>，</w:t>
      </w:r>
      <w:r>
        <w:rPr>
          <w:szCs w:val="30"/>
        </w:rPr>
        <w:t>场地比赛区（划线区）不小于</w:t>
      </w:r>
      <w:r>
        <w:rPr>
          <w:rFonts w:hint="eastAsia"/>
          <w:szCs w:val="30"/>
        </w:rPr>
        <w:t>45</w:t>
      </w:r>
      <w:r>
        <w:rPr>
          <w:rFonts w:hint="eastAsia"/>
          <w:szCs w:val="30"/>
        </w:rPr>
        <w:t>×</w:t>
      </w:r>
      <w:r>
        <w:rPr>
          <w:szCs w:val="30"/>
        </w:rPr>
        <w:t>45</w:t>
      </w:r>
      <w:r>
        <w:rPr>
          <w:szCs w:val="30"/>
        </w:rPr>
        <w:t>米，可将标准足球场划分为</w:t>
      </w:r>
      <w:r>
        <w:rPr>
          <w:szCs w:val="30"/>
        </w:rPr>
        <w:t>2</w:t>
      </w:r>
      <w:r>
        <w:rPr>
          <w:szCs w:val="30"/>
        </w:rPr>
        <w:t>个</w:t>
      </w:r>
      <w:r>
        <w:rPr>
          <w:szCs w:val="30"/>
        </w:rPr>
        <w:t>7</w:t>
      </w:r>
      <w:r>
        <w:rPr>
          <w:szCs w:val="30"/>
        </w:rPr>
        <w:t>人制足球场，也可独立设置</w:t>
      </w:r>
      <w:r>
        <w:rPr>
          <w:rFonts w:hint="eastAsia"/>
          <w:szCs w:val="30"/>
        </w:rPr>
        <w:t>，还要</w:t>
      </w:r>
      <w:r>
        <w:rPr>
          <w:szCs w:val="30"/>
        </w:rPr>
        <w:t>在比赛场地外设置缓冲区。</w:t>
      </w:r>
      <w:r>
        <w:rPr>
          <w:szCs w:val="30"/>
        </w:rPr>
        <w:t>5</w:t>
      </w:r>
      <w:r>
        <w:rPr>
          <w:szCs w:val="30"/>
        </w:rPr>
        <w:t>人制足球场</w:t>
      </w:r>
      <w:r>
        <w:rPr>
          <w:rFonts w:hint="eastAsia"/>
          <w:szCs w:val="30"/>
        </w:rPr>
        <w:t>，</w:t>
      </w:r>
      <w:r>
        <w:rPr>
          <w:szCs w:val="30"/>
        </w:rPr>
        <w:t>场地比赛区（划线区）不小于</w:t>
      </w:r>
      <w:r>
        <w:rPr>
          <w:szCs w:val="30"/>
        </w:rPr>
        <w:t>25</w:t>
      </w:r>
      <w:r>
        <w:rPr>
          <w:rFonts w:hint="eastAsia"/>
          <w:szCs w:val="30"/>
        </w:rPr>
        <w:t>×</w:t>
      </w:r>
      <w:r>
        <w:rPr>
          <w:szCs w:val="30"/>
        </w:rPr>
        <w:t>15</w:t>
      </w:r>
      <w:r>
        <w:rPr>
          <w:szCs w:val="30"/>
        </w:rPr>
        <w:t>米。在比赛场地外</w:t>
      </w:r>
      <w:r>
        <w:rPr>
          <w:rFonts w:hint="eastAsia"/>
          <w:szCs w:val="30"/>
        </w:rPr>
        <w:t>应</w:t>
      </w:r>
      <w:r>
        <w:rPr>
          <w:szCs w:val="30"/>
        </w:rPr>
        <w:t>设置缓冲区。</w:t>
      </w:r>
    </w:p>
    <w:p w:rsidR="005B205A" w:rsidRDefault="005B205A">
      <w:pPr>
        <w:textAlignment w:val="auto"/>
        <w:rPr>
          <w:szCs w:val="30"/>
        </w:rPr>
      </w:pPr>
    </w:p>
    <w:p w:rsidR="005B205A" w:rsidRDefault="005B205A">
      <w:pPr>
        <w:rPr>
          <w:szCs w:val="30"/>
        </w:rPr>
      </w:pPr>
    </w:p>
    <w:sectPr w:rsidR="005B20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616" w:bottom="1814" w:left="1616" w:header="851" w:footer="1474" w:gutter="0"/>
      <w:pgNumType w:start="3"/>
      <w:cols w:space="425"/>
      <w:docGrid w:type="lines" w:linePitch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57" w:rsidRDefault="00692B57">
      <w:pPr>
        <w:spacing w:line="240" w:lineRule="auto"/>
      </w:pPr>
      <w:r>
        <w:separator/>
      </w:r>
    </w:p>
  </w:endnote>
  <w:endnote w:type="continuationSeparator" w:id="0">
    <w:p w:rsidR="00692B57" w:rsidRDefault="00692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细圆B5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A" w:rsidRDefault="00C8281A" w:rsidP="00C8281A">
    <w:pPr>
      <w:pStyle w:val="a8"/>
      <w:ind w:right="141" w:firstLineChars="50" w:firstLine="140"/>
      <w:rPr>
        <w:rFonts w:ascii="Times New Roman" w:eastAsia="仿宋_GB2312" w:hAnsi="Times New Roman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2475" cy="23050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05A" w:rsidRDefault="00692B57">
                          <w:pPr>
                            <w:pStyle w:val="a8"/>
                            <w:ind w:right="141" w:firstLineChars="50" w:firstLine="146"/>
                          </w:pPr>
                          <w:r>
                            <w:rPr>
                              <w:rFonts w:asciiTheme="minorEastAsia" w:eastAsiaTheme="minorEastAsia" w:hAnsiTheme="minorEastAsia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hAnsi="Times New Roman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81A" w:rsidRPr="00C8281A">
                            <w:rPr>
                              <w:rFonts w:ascii="Times New Roman" w:eastAsia="仿宋_GB2312" w:hAnsi="Times New Roman"/>
                              <w:caps/>
                              <w:noProof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Times New Roman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.05pt;margin-top:0;width:59.2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wnqQIAAKY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" filled="f" stroked="f">
              <v:textbox style="mso-fit-shape-to-text:t" inset="0,0,0,0">
                <w:txbxContent>
                  <w:p w:rsidR="005B205A" w:rsidRDefault="00692B57">
                    <w:pPr>
                      <w:pStyle w:val="a8"/>
                      <w:ind w:right="141" w:firstLineChars="50" w:firstLine="146"/>
                    </w:pPr>
                    <w:r>
                      <w:rPr>
                        <w:rFonts w:asciiTheme="minorEastAsia" w:eastAsiaTheme="minorEastAsia" w:hAnsiTheme="minorEastAsia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hAnsi="Times New Roman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separate"/>
                    </w:r>
                    <w:r w:rsidR="00C8281A" w:rsidRPr="00C8281A">
                      <w:rPr>
                        <w:rFonts w:ascii="Times New Roman" w:eastAsia="仿宋_GB2312" w:hAnsi="Times New Roman"/>
                        <w:caps/>
                        <w:noProof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Times New Roman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A" w:rsidRDefault="00C8281A">
    <w:pPr>
      <w:pStyle w:val="a8"/>
      <w:ind w:right="141"/>
      <w:jc w:val="right"/>
      <w:rPr>
        <w:rFonts w:ascii="仿宋_GB2312" w:eastAsia="仿宋_GB2312" w:hAnsi="宋体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9765" cy="23050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05A" w:rsidRDefault="00692B57">
                          <w:pPr>
                            <w:pStyle w:val="a8"/>
                            <w:ind w:right="141"/>
                            <w:jc w:val="right"/>
                          </w:pP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81A" w:rsidRPr="00C8281A">
                            <w:rPr>
                              <w:rFonts w:ascii="Times New Roman" w:eastAsia="仿宋_GB2312" w:hAnsi="Times New Roman"/>
                              <w:caps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.75pt;margin-top:0;width:51.9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QR2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" filled="f" stroked="f">
              <v:textbox style="mso-fit-shape-to-text:t" inset="0,0,0,0">
                <w:txbxContent>
                  <w:p w:rsidR="005B205A" w:rsidRDefault="00692B57">
                    <w:pPr>
                      <w:pStyle w:val="a8"/>
                      <w:ind w:right="141"/>
                      <w:jc w:val="right"/>
                    </w:pP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separate"/>
                    </w:r>
                    <w:r w:rsidR="00C8281A" w:rsidRPr="00C8281A">
                      <w:rPr>
                        <w:rFonts w:ascii="Times New Roman" w:eastAsia="仿宋_GB2312" w:hAnsi="Times New Roman"/>
                        <w:caps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57" w:rsidRDefault="00692B57">
      <w:pPr>
        <w:spacing w:line="240" w:lineRule="auto"/>
      </w:pPr>
      <w:r>
        <w:separator/>
      </w:r>
    </w:p>
  </w:footnote>
  <w:footnote w:type="continuationSeparator" w:id="0">
    <w:p w:rsidR="00692B57" w:rsidRDefault="00692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A" w:rsidRDefault="005B205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A" w:rsidRDefault="005B205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evenAndOddHeaders/>
  <w:drawingGridHorizontalSpacing w:val="150"/>
  <w:drawingGridVerticalSpacing w:val="29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B205A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692B57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281A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587A21ED"/>
    <w:rsid w:val="5D529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/>
    <w:lsdException w:name="Default Paragraph Font" w:uiPriority="1" w:qFormat="1"/>
    <w:lsdException w:name="Body Text Indent" w:semiHidden="0" w:qFormat="1"/>
    <w:lsdException w:name="Subtitle" w:semiHidden="0" w:uiPriority="11" w:unhideWhenUsed="0"/>
    <w:lsdException w:name="Date" w:qFormat="1"/>
    <w:lsdException w:name="Body Text First Indent 2" w:semiHidden="0" w:qFormat="1"/>
    <w:lsdException w:name="Strong" w:semiHidden="0" w:uiPriority="22" w:unhideWhenUsed="0"/>
    <w:lsdException w:name="Emphasis" w:semiHidden="0" w:uiPriority="20" w:unhideWhenUsed="0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88" w:lineRule="exact"/>
      <w:jc w:val="both"/>
      <w:textAlignment w:val="center"/>
    </w:pPr>
    <w:rPr>
      <w:rFonts w:eastAsia="方正仿宋_GBK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ascii="Calibri" w:eastAsia="方正黑体_GBK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="Cambria" w:eastAsia="方正楷体_GBK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="Calibri" w:eastAsia="方正楷体_GBK" w:hAnsi="Calibr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link w:val="a9"/>
    <w:uiPriority w:val="99"/>
    <w:qFormat/>
    <w:rPr>
      <w:rFonts w:eastAsia="方正仿宋_GBK"/>
      <w:spacing w:val="6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eastAsia="方正仿宋_GBK"/>
      <w:spacing w:val="6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方正黑体_GBK"/>
      <w:bCs/>
      <w:kern w:val="44"/>
      <w:sz w:val="30"/>
      <w:szCs w:val="44"/>
    </w:rPr>
  </w:style>
  <w:style w:type="character" w:customStyle="1" w:styleId="2Char">
    <w:name w:val="标题 2 Char"/>
    <w:link w:val="20"/>
    <w:uiPriority w:val="9"/>
    <w:qFormat/>
    <w:rPr>
      <w:rFonts w:ascii="Cambria" w:eastAsia="方正楷体_GBK" w:hAnsi="Cambria"/>
      <w:bCs/>
      <w:kern w:val="2"/>
      <w:sz w:val="30"/>
      <w:szCs w:val="32"/>
    </w:rPr>
  </w:style>
  <w:style w:type="character" w:customStyle="1" w:styleId="3Char">
    <w:name w:val="标题 3 Char"/>
    <w:link w:val="3"/>
    <w:uiPriority w:val="9"/>
    <w:qFormat/>
    <w:rPr>
      <w:rFonts w:eastAsia="方正楷体_GBK"/>
      <w:bCs/>
      <w:kern w:val="2"/>
      <w:sz w:val="30"/>
      <w:szCs w:val="32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character" w:customStyle="1" w:styleId="Char0">
    <w:name w:val="批注文字 Char"/>
    <w:basedOn w:val="a0"/>
    <w:link w:val="a5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rFonts w:ascii="Times New Roman" w:eastAsia="方正仿宋_GBK" w:hAnsi="Times New Roman"/>
      <w:b/>
      <w:bCs/>
      <w:kern w:val="2"/>
      <w:sz w:val="30"/>
      <w:szCs w:val="22"/>
    </w:rPr>
  </w:style>
  <w:style w:type="paragraph" w:customStyle="1" w:styleId="10">
    <w:name w:val="修订1"/>
    <w:hidden/>
    <w:uiPriority w:val="99"/>
    <w:semiHidden/>
    <w:qFormat/>
    <w:rPr>
      <w:rFonts w:eastAsia="方正仿宋_GBK"/>
      <w:kern w:val="2"/>
      <w:sz w:val="30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/>
    <w:lsdException w:name="Default Paragraph Font" w:uiPriority="1" w:qFormat="1"/>
    <w:lsdException w:name="Body Text Indent" w:semiHidden="0" w:qFormat="1"/>
    <w:lsdException w:name="Subtitle" w:semiHidden="0" w:uiPriority="11" w:unhideWhenUsed="0"/>
    <w:lsdException w:name="Date" w:qFormat="1"/>
    <w:lsdException w:name="Body Text First Indent 2" w:semiHidden="0" w:qFormat="1"/>
    <w:lsdException w:name="Strong" w:semiHidden="0" w:uiPriority="22" w:unhideWhenUsed="0"/>
    <w:lsdException w:name="Emphasis" w:semiHidden="0" w:uiPriority="20" w:unhideWhenUsed="0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88" w:lineRule="exact"/>
      <w:jc w:val="both"/>
      <w:textAlignment w:val="center"/>
    </w:pPr>
    <w:rPr>
      <w:rFonts w:eastAsia="方正仿宋_GBK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ascii="Calibri" w:eastAsia="方正黑体_GBK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="Cambria" w:eastAsia="方正楷体_GBK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="Calibri" w:eastAsia="方正楷体_GBK" w:hAnsi="Calibr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link w:val="a9"/>
    <w:uiPriority w:val="99"/>
    <w:qFormat/>
    <w:rPr>
      <w:rFonts w:eastAsia="方正仿宋_GBK"/>
      <w:spacing w:val="6"/>
      <w:sz w:val="18"/>
      <w:szCs w:val="18"/>
    </w:rPr>
  </w:style>
  <w:style w:type="character" w:customStyle="1" w:styleId="Char3">
    <w:name w:val="页脚 Char"/>
    <w:link w:val="a8"/>
    <w:uiPriority w:val="99"/>
    <w:qFormat/>
    <w:rPr>
      <w:rFonts w:eastAsia="方正仿宋_GBK"/>
      <w:spacing w:val="6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方正黑体_GBK"/>
      <w:bCs/>
      <w:kern w:val="44"/>
      <w:sz w:val="30"/>
      <w:szCs w:val="44"/>
    </w:rPr>
  </w:style>
  <w:style w:type="character" w:customStyle="1" w:styleId="2Char">
    <w:name w:val="标题 2 Char"/>
    <w:link w:val="20"/>
    <w:uiPriority w:val="9"/>
    <w:qFormat/>
    <w:rPr>
      <w:rFonts w:ascii="Cambria" w:eastAsia="方正楷体_GBK" w:hAnsi="Cambria"/>
      <w:bCs/>
      <w:kern w:val="2"/>
      <w:sz w:val="30"/>
      <w:szCs w:val="32"/>
    </w:rPr>
  </w:style>
  <w:style w:type="character" w:customStyle="1" w:styleId="3Char">
    <w:name w:val="标题 3 Char"/>
    <w:link w:val="3"/>
    <w:uiPriority w:val="9"/>
    <w:qFormat/>
    <w:rPr>
      <w:rFonts w:eastAsia="方正楷体_GBK"/>
      <w:bCs/>
      <w:kern w:val="2"/>
      <w:sz w:val="30"/>
      <w:szCs w:val="32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character" w:customStyle="1" w:styleId="Char0">
    <w:name w:val="批注文字 Char"/>
    <w:basedOn w:val="a0"/>
    <w:link w:val="a5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rFonts w:ascii="Times New Roman" w:eastAsia="方正仿宋_GBK" w:hAnsi="Times New Roman"/>
      <w:b/>
      <w:bCs/>
      <w:kern w:val="2"/>
      <w:sz w:val="30"/>
      <w:szCs w:val="22"/>
    </w:rPr>
  </w:style>
  <w:style w:type="paragraph" w:customStyle="1" w:styleId="10">
    <w:name w:val="修订1"/>
    <w:hidden/>
    <w:uiPriority w:val="99"/>
    <w:semiHidden/>
    <w:qFormat/>
    <w:rPr>
      <w:rFonts w:eastAsia="方正仿宋_GBK"/>
      <w:kern w:val="2"/>
      <w:sz w:val="30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 textRotate="1"/>
    <customShpInfo spid="_x0000_s205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1509</Characters>
  <Application>Microsoft Office Word</Application>
  <DocSecurity>0</DocSecurity>
  <Lines>12</Lines>
  <Paragraphs>3</Paragraphs>
  <ScaleCrop>false</ScaleCrop>
  <Company>微软中国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程建林</dc:creator>
  <cp:lastModifiedBy>qts-332-zhangyr</cp:lastModifiedBy>
  <cp:revision>2</cp:revision>
  <cp:lastPrinted>2021-04-21T14:31:00Z</cp:lastPrinted>
  <dcterms:created xsi:type="dcterms:W3CDTF">2021-04-27T00:37:00Z</dcterms:created>
  <dcterms:modified xsi:type="dcterms:W3CDTF">2021-04-27T00:37:00Z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