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9B657">
      <w:pPr>
        <w:widowControl w:val="0"/>
        <w:spacing w:line="240" w:lineRule="auto"/>
        <w:jc w:val="center"/>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2026年中国体育彩票全国象棋民间棋王</w:t>
      </w:r>
    </w:p>
    <w:p w14:paraId="079826ED">
      <w:pPr>
        <w:widowControl w:val="0"/>
        <w:spacing w:line="24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争霸赛赛事活动安排</w:t>
      </w:r>
    </w:p>
    <w:bookmarkEnd w:id="0"/>
    <w:p w14:paraId="3A868255">
      <w:pPr>
        <w:widowControl w:val="0"/>
        <w:spacing w:line="360" w:lineRule="auto"/>
        <w:ind w:firstLine="600" w:firstLineChars="200"/>
        <w:jc w:val="both"/>
        <w:rPr>
          <w:rFonts w:ascii="黑体" w:eastAsia="黑体" w:cs="仿宋"/>
          <w:snapToGrid/>
          <w:kern w:val="2"/>
          <w:sz w:val="30"/>
          <w:szCs w:val="30"/>
        </w:rPr>
      </w:pPr>
    </w:p>
    <w:p w14:paraId="5643299C">
      <w:pPr>
        <w:widowControl w:val="0"/>
        <w:spacing w:line="360" w:lineRule="auto"/>
        <w:ind w:firstLine="600" w:firstLineChars="200"/>
        <w:jc w:val="both"/>
        <w:rPr>
          <w:rFonts w:ascii="黑体" w:hAnsi="黑体" w:eastAsia="黑体" w:cs="仿宋"/>
          <w:kern w:val="2"/>
          <w:sz w:val="32"/>
          <w:szCs w:val="30"/>
        </w:rPr>
      </w:pPr>
      <w:r>
        <w:rPr>
          <w:rFonts w:hint="eastAsia" w:ascii="黑体" w:eastAsia="黑体" w:cs="仿宋"/>
          <w:snapToGrid/>
          <w:kern w:val="2"/>
          <w:sz w:val="30"/>
          <w:szCs w:val="30"/>
        </w:rPr>
        <w:t>一、</w:t>
      </w:r>
      <w:r>
        <w:rPr>
          <w:rFonts w:hint="eastAsia" w:ascii="黑体" w:hAnsi="黑体" w:eastAsia="黑体" w:cs="仿宋"/>
          <w:kern w:val="2"/>
          <w:sz w:val="30"/>
          <w:szCs w:val="30"/>
        </w:rPr>
        <w:t>赛事安排</w:t>
      </w:r>
    </w:p>
    <w:p w14:paraId="575F45F0">
      <w:pPr>
        <w:widowControl w:val="0"/>
        <w:spacing w:line="360" w:lineRule="auto"/>
        <w:ind w:firstLine="600" w:firstLineChars="200"/>
        <w:jc w:val="both"/>
        <w:rPr>
          <w:rFonts w:ascii="仿宋" w:eastAsia="仿宋" w:cs="仿宋"/>
          <w:snapToGrid/>
          <w:kern w:val="2"/>
          <w:sz w:val="30"/>
          <w:szCs w:val="30"/>
        </w:rPr>
      </w:pPr>
      <w:r>
        <w:rPr>
          <w:rFonts w:hint="eastAsia" w:ascii="仿宋" w:eastAsia="仿宋" w:cs="仿宋"/>
          <w:snapToGrid/>
          <w:kern w:val="2"/>
          <w:sz w:val="30"/>
          <w:szCs w:val="30"/>
        </w:rPr>
        <w:t>赛事包括海选赛、</w:t>
      </w:r>
      <w:r>
        <w:rPr>
          <w:rFonts w:ascii="仿宋" w:eastAsia="仿宋"/>
          <w:sz w:val="30"/>
          <w:szCs w:val="30"/>
        </w:rPr>
        <w:t>地市及省级区域赛</w:t>
      </w:r>
      <w:r>
        <w:rPr>
          <w:rFonts w:hint="eastAsia" w:ascii="仿宋" w:eastAsia="仿宋" w:cs="仿宋"/>
          <w:snapToGrid/>
          <w:kern w:val="2"/>
          <w:sz w:val="30"/>
          <w:szCs w:val="30"/>
        </w:rPr>
        <w:t>、全国总决赛三个阶段。</w:t>
      </w:r>
    </w:p>
    <w:p w14:paraId="4AEBC59A">
      <w:pPr>
        <w:widowControl w:val="0"/>
        <w:spacing w:line="360" w:lineRule="auto"/>
        <w:ind w:firstLine="600" w:firstLineChars="200"/>
        <w:jc w:val="both"/>
        <w:rPr>
          <w:rFonts w:ascii="楷体" w:eastAsia="楷体" w:cs="仿宋"/>
          <w:snapToGrid/>
          <w:kern w:val="2"/>
          <w:sz w:val="30"/>
          <w:szCs w:val="30"/>
        </w:rPr>
      </w:pPr>
      <w:r>
        <w:rPr>
          <w:rFonts w:hint="eastAsia" w:ascii="楷体" w:eastAsia="楷体"/>
          <w:sz w:val="30"/>
          <w:szCs w:val="30"/>
        </w:rPr>
        <w:t>（一）体彩实体店海选赛</w:t>
      </w:r>
      <w:r>
        <w:rPr>
          <w:rFonts w:hint="eastAsia" w:ascii="楷体" w:eastAsia="楷体" w:cs="仿宋"/>
          <w:snapToGrid/>
          <w:kern w:val="2"/>
          <w:sz w:val="30"/>
          <w:szCs w:val="30"/>
        </w:rPr>
        <w:t>（8</w:t>
      </w:r>
      <w:r>
        <w:rPr>
          <w:rFonts w:ascii="楷体" w:eastAsia="楷体" w:cs="仿宋"/>
          <w:snapToGrid/>
          <w:kern w:val="2"/>
          <w:sz w:val="30"/>
          <w:szCs w:val="30"/>
        </w:rPr>
        <w:t>月</w:t>
      </w:r>
      <w:r>
        <w:rPr>
          <w:rFonts w:hint="eastAsia" w:ascii="楷体" w:eastAsia="楷体" w:cs="仿宋"/>
          <w:snapToGrid/>
          <w:kern w:val="2"/>
          <w:sz w:val="30"/>
          <w:szCs w:val="30"/>
        </w:rPr>
        <w:t>7日—</w:t>
      </w:r>
      <w:r>
        <w:rPr>
          <w:rFonts w:ascii="楷体" w:eastAsia="楷体" w:cs="仿宋"/>
          <w:snapToGrid/>
          <w:kern w:val="2"/>
          <w:sz w:val="30"/>
          <w:szCs w:val="30"/>
        </w:rPr>
        <w:t>9月</w:t>
      </w:r>
      <w:r>
        <w:rPr>
          <w:rFonts w:hint="eastAsia" w:ascii="楷体" w:eastAsia="楷体" w:cs="仿宋"/>
          <w:snapToGrid/>
          <w:kern w:val="2"/>
          <w:sz w:val="30"/>
          <w:szCs w:val="30"/>
        </w:rPr>
        <w:t>13</w:t>
      </w:r>
      <w:r>
        <w:rPr>
          <w:rFonts w:ascii="楷体" w:eastAsia="楷体" w:cs="仿宋"/>
          <w:snapToGrid/>
          <w:kern w:val="2"/>
          <w:sz w:val="30"/>
          <w:szCs w:val="30"/>
        </w:rPr>
        <w:t>日</w:t>
      </w:r>
      <w:r>
        <w:rPr>
          <w:rFonts w:hint="eastAsia" w:ascii="楷体" w:eastAsia="楷体" w:cs="仿宋"/>
          <w:snapToGrid/>
          <w:kern w:val="2"/>
          <w:sz w:val="30"/>
          <w:szCs w:val="30"/>
        </w:rPr>
        <w:t>）</w:t>
      </w:r>
    </w:p>
    <w:p w14:paraId="2EE41713">
      <w:pPr>
        <w:widowControl w:val="0"/>
        <w:numPr>
          <w:ilvl w:val="255"/>
          <w:numId w:val="0"/>
        </w:numPr>
        <w:spacing w:line="360" w:lineRule="auto"/>
        <w:ind w:firstLine="600" w:firstLineChars="200"/>
        <w:contextualSpacing/>
        <w:jc w:val="both"/>
        <w:rPr>
          <w:rFonts w:ascii="仿宋" w:eastAsia="仿宋" w:cs="仿宋"/>
          <w:snapToGrid/>
          <w:kern w:val="2"/>
          <w:sz w:val="30"/>
          <w:szCs w:val="30"/>
        </w:rPr>
      </w:pPr>
      <w:r>
        <w:rPr>
          <w:rFonts w:hint="eastAsia" w:ascii="仿宋" w:eastAsia="仿宋" w:cs="仿宋"/>
          <w:snapToGrid/>
          <w:kern w:val="2"/>
          <w:sz w:val="30"/>
          <w:szCs w:val="30"/>
        </w:rPr>
        <w:t>1.比赛不设时间、快、慢棋等要求，双方对弈产生赛果即为完成一场比赛。比赛采用选手信任制，不设裁判，比赛结果由选手双方裁定。</w:t>
      </w:r>
    </w:p>
    <w:p w14:paraId="12DB42B4">
      <w:pPr>
        <w:widowControl w:val="0"/>
        <w:numPr>
          <w:ilvl w:val="255"/>
          <w:numId w:val="0"/>
        </w:numPr>
        <w:spacing w:line="360" w:lineRule="auto"/>
        <w:ind w:firstLine="600" w:firstLineChars="200"/>
        <w:jc w:val="both"/>
        <w:rPr>
          <w:rFonts w:ascii="仿宋" w:eastAsia="仿宋" w:cs="仿宋"/>
          <w:snapToGrid/>
          <w:kern w:val="2"/>
          <w:sz w:val="30"/>
          <w:szCs w:val="30"/>
        </w:rPr>
      </w:pPr>
      <w:r>
        <w:rPr>
          <w:rFonts w:hint="eastAsia" w:ascii="仿宋" w:eastAsia="仿宋" w:cs="仿宋"/>
          <w:snapToGrid/>
          <w:kern w:val="2"/>
          <w:sz w:val="30"/>
          <w:szCs w:val="30"/>
        </w:rPr>
        <w:t>2.每名选手每天上传比赛场次不作限制，前</w:t>
      </w:r>
      <w:r>
        <w:rPr>
          <w:rFonts w:ascii="仿宋" w:eastAsia="仿宋" w:cs="仿宋"/>
          <w:snapToGrid/>
          <w:kern w:val="2"/>
          <w:sz w:val="30"/>
          <w:szCs w:val="30"/>
        </w:rPr>
        <w:t>10</w:t>
      </w:r>
      <w:r>
        <w:rPr>
          <w:rFonts w:hint="eastAsia" w:ascii="仿宋" w:eastAsia="仿宋" w:cs="仿宋"/>
          <w:snapToGrid/>
          <w:kern w:val="2"/>
          <w:sz w:val="30"/>
          <w:szCs w:val="30"/>
        </w:rPr>
        <w:t>场成绩上传可获得相应得分。</w:t>
      </w:r>
    </w:p>
    <w:p w14:paraId="247A901E">
      <w:pPr>
        <w:widowControl w:val="0"/>
        <w:numPr>
          <w:ilvl w:val="255"/>
          <w:numId w:val="0"/>
        </w:numPr>
        <w:spacing w:line="360" w:lineRule="auto"/>
        <w:ind w:firstLine="600" w:firstLineChars="200"/>
        <w:jc w:val="both"/>
        <w:rPr>
          <w:rFonts w:ascii="仿宋" w:eastAsia="仿宋" w:cs="仿宋"/>
          <w:snapToGrid/>
          <w:kern w:val="2"/>
          <w:sz w:val="30"/>
          <w:szCs w:val="30"/>
        </w:rPr>
      </w:pPr>
      <w:r>
        <w:rPr>
          <w:rFonts w:hint="eastAsia" w:ascii="仿宋" w:eastAsia="仿宋" w:cs="仿宋"/>
          <w:snapToGrid/>
          <w:kern w:val="2"/>
          <w:sz w:val="30"/>
          <w:szCs w:val="30"/>
        </w:rPr>
        <w:t>3.海选期间，每名选手完成20场比赛成绩上传，即自动获得晋级地市阶段比赛资格。</w:t>
      </w:r>
    </w:p>
    <w:p w14:paraId="2C7B0DFC">
      <w:pPr>
        <w:widowControl w:val="0"/>
        <w:spacing w:line="360" w:lineRule="auto"/>
        <w:ind w:firstLine="600" w:firstLineChars="200"/>
        <w:jc w:val="both"/>
        <w:rPr>
          <w:rFonts w:ascii="楷体" w:eastAsia="楷体" w:cs="仿宋"/>
          <w:snapToGrid/>
          <w:kern w:val="2"/>
          <w:sz w:val="30"/>
          <w:szCs w:val="30"/>
        </w:rPr>
      </w:pPr>
      <w:r>
        <w:rPr>
          <w:rFonts w:hint="eastAsia" w:ascii="楷体" w:eastAsia="楷体"/>
          <w:sz w:val="30"/>
          <w:szCs w:val="30"/>
        </w:rPr>
        <w:t>（二）</w:t>
      </w:r>
      <w:r>
        <w:rPr>
          <w:rFonts w:ascii="楷体" w:eastAsia="楷体"/>
          <w:sz w:val="30"/>
          <w:szCs w:val="30"/>
        </w:rPr>
        <w:t>地市及省级区域赛</w:t>
      </w:r>
      <w:r>
        <w:rPr>
          <w:rFonts w:hint="eastAsia" w:ascii="楷体" w:eastAsia="楷体" w:cs="仿宋"/>
          <w:snapToGrid/>
          <w:kern w:val="2"/>
          <w:sz w:val="30"/>
          <w:szCs w:val="30"/>
        </w:rPr>
        <w:t>（9月14日—10月18日）</w:t>
      </w:r>
    </w:p>
    <w:p w14:paraId="46AB6395">
      <w:pPr>
        <w:widowControl w:val="0"/>
        <w:spacing w:line="360" w:lineRule="auto"/>
        <w:ind w:firstLine="600" w:firstLineChars="200"/>
        <w:jc w:val="both"/>
        <w:rPr>
          <w:rFonts w:ascii="仿宋" w:eastAsia="仿宋" w:cs="仿宋"/>
          <w:snapToGrid/>
          <w:color w:val="000000"/>
          <w:kern w:val="2"/>
          <w:sz w:val="30"/>
          <w:szCs w:val="30"/>
          <w:u w:color="000000"/>
        </w:rPr>
      </w:pPr>
      <w:r>
        <w:rPr>
          <w:rFonts w:hint="eastAsia" w:ascii="仿宋" w:hAnsi="仿宋" w:eastAsia="仿宋" w:cs="仿宋"/>
          <w:snapToGrid/>
          <w:color w:val="000000"/>
          <w:kern w:val="2"/>
          <w:sz w:val="30"/>
          <w:szCs w:val="30"/>
          <w:u w:color="000000"/>
        </w:rPr>
        <w:t>地市及省级区域赛由</w:t>
      </w:r>
      <w:r>
        <w:rPr>
          <w:rFonts w:ascii="仿宋" w:hAnsi="仿宋" w:eastAsia="仿宋" w:cs="仿宋"/>
          <w:snapToGrid/>
          <w:color w:val="000000"/>
          <w:kern w:val="2"/>
          <w:sz w:val="30"/>
          <w:szCs w:val="30"/>
          <w:u w:color="000000"/>
        </w:rPr>
        <w:t>各省（区、市）体彩中心</w:t>
      </w:r>
      <w:r>
        <w:rPr>
          <w:rFonts w:hint="eastAsia" w:ascii="仿宋" w:hAnsi="仿宋" w:eastAsia="仿宋" w:cs="仿宋"/>
          <w:snapToGrid/>
          <w:color w:val="000000"/>
          <w:kern w:val="2"/>
          <w:sz w:val="30"/>
          <w:szCs w:val="30"/>
          <w:u w:color="000000"/>
        </w:rPr>
        <w:t>会同象棋协会组织开展。</w:t>
      </w:r>
      <w:r>
        <w:rPr>
          <w:rFonts w:ascii="仿宋" w:hAnsi="仿宋" w:eastAsia="仿宋" w:cs="仿宋"/>
          <w:snapToGrid/>
          <w:color w:val="000000"/>
          <w:kern w:val="2"/>
          <w:sz w:val="30"/>
          <w:szCs w:val="30"/>
          <w:u w:color="000000"/>
        </w:rPr>
        <w:t>各省（区、市）体彩中心海选赛晋级选手</w:t>
      </w:r>
      <w:r>
        <w:rPr>
          <w:rFonts w:hint="eastAsia" w:ascii="仿宋" w:hAnsi="仿宋" w:eastAsia="仿宋" w:cs="仿宋"/>
          <w:snapToGrid/>
          <w:color w:val="000000"/>
          <w:kern w:val="2"/>
          <w:sz w:val="30"/>
          <w:szCs w:val="30"/>
          <w:u w:color="000000"/>
        </w:rPr>
        <w:t>可参与</w:t>
      </w:r>
      <w:r>
        <w:rPr>
          <w:rFonts w:ascii="仿宋" w:hAnsi="仿宋" w:eastAsia="仿宋" w:cs="仿宋"/>
          <w:snapToGrid/>
          <w:color w:val="000000"/>
          <w:kern w:val="2"/>
          <w:sz w:val="30"/>
          <w:szCs w:val="30"/>
          <w:u w:color="000000"/>
        </w:rPr>
        <w:t>地市级</w:t>
      </w:r>
      <w:r>
        <w:rPr>
          <w:rFonts w:hint="eastAsia" w:ascii="仿宋" w:hAnsi="仿宋" w:eastAsia="仿宋" w:cs="仿宋"/>
          <w:snapToGrid/>
          <w:color w:val="000000"/>
          <w:kern w:val="2"/>
          <w:sz w:val="30"/>
          <w:szCs w:val="30"/>
          <w:u w:color="000000"/>
        </w:rPr>
        <w:t>决赛，</w:t>
      </w:r>
      <w:r>
        <w:rPr>
          <w:rFonts w:ascii="仿宋" w:hAnsi="仿宋" w:eastAsia="仿宋" w:cs="仿宋"/>
          <w:snapToGrid/>
          <w:color w:val="000000"/>
          <w:kern w:val="2"/>
          <w:sz w:val="30"/>
          <w:szCs w:val="30"/>
          <w:u w:color="000000"/>
        </w:rPr>
        <w:t>地市级决赛获胜选手获得“地市棋王”称号，地市级比赛前</w:t>
      </w:r>
      <w:r>
        <w:rPr>
          <w:rFonts w:hint="eastAsia" w:ascii="仿宋" w:hAnsi="仿宋" w:eastAsia="仿宋" w:cs="仿宋"/>
          <w:snapToGrid/>
          <w:color w:val="000000"/>
          <w:kern w:val="2"/>
          <w:sz w:val="30"/>
          <w:szCs w:val="30"/>
          <w:u w:color="000000"/>
        </w:rPr>
        <w:t>三</w:t>
      </w:r>
      <w:r>
        <w:rPr>
          <w:rFonts w:ascii="仿宋" w:hAnsi="仿宋" w:eastAsia="仿宋" w:cs="仿宋"/>
          <w:snapToGrid/>
          <w:color w:val="000000"/>
          <w:kern w:val="2"/>
          <w:sz w:val="30"/>
          <w:szCs w:val="30"/>
          <w:u w:color="000000"/>
        </w:rPr>
        <w:t>名选手晋级省级决赛。省级比赛</w:t>
      </w:r>
      <w:r>
        <w:rPr>
          <w:rFonts w:hint="eastAsia" w:ascii="仿宋" w:hAnsi="仿宋" w:eastAsia="仿宋" w:cs="仿宋"/>
          <w:snapToGrid/>
          <w:color w:val="000000"/>
          <w:kern w:val="2"/>
          <w:sz w:val="30"/>
          <w:szCs w:val="30"/>
          <w:u w:color="000000"/>
        </w:rPr>
        <w:t>最终</w:t>
      </w:r>
      <w:r>
        <w:rPr>
          <w:rFonts w:ascii="仿宋" w:hAnsi="仿宋" w:eastAsia="仿宋" w:cs="仿宋"/>
          <w:snapToGrid/>
          <w:color w:val="000000"/>
          <w:kern w:val="2"/>
          <w:sz w:val="30"/>
          <w:szCs w:val="30"/>
          <w:u w:color="000000"/>
        </w:rPr>
        <w:t>选拔出1名“省棋王”晋级全国总决赛</w:t>
      </w:r>
      <w:r>
        <w:rPr>
          <w:rFonts w:ascii="仿宋" w:eastAsia="仿宋" w:cs="仿宋"/>
          <w:snapToGrid/>
          <w:color w:val="000000"/>
          <w:kern w:val="2"/>
          <w:sz w:val="30"/>
          <w:szCs w:val="30"/>
          <w:u w:color="000000"/>
        </w:rPr>
        <w:t>。</w:t>
      </w:r>
    </w:p>
    <w:p w14:paraId="175CE00B">
      <w:pPr>
        <w:widowControl w:val="0"/>
        <w:spacing w:line="360" w:lineRule="auto"/>
        <w:ind w:firstLine="600" w:firstLineChars="200"/>
        <w:contextualSpacing/>
        <w:jc w:val="both"/>
        <w:rPr>
          <w:rFonts w:ascii="楷体" w:eastAsia="楷体" w:cs="仿宋"/>
          <w:snapToGrid/>
          <w:kern w:val="2"/>
          <w:sz w:val="30"/>
          <w:szCs w:val="30"/>
        </w:rPr>
      </w:pPr>
      <w:r>
        <w:rPr>
          <w:rFonts w:hint="eastAsia" w:ascii="仿宋" w:eastAsia="仿宋" w:cs="仿宋"/>
          <w:snapToGrid/>
          <w:kern w:val="2"/>
          <w:sz w:val="30"/>
          <w:szCs w:val="30"/>
        </w:rPr>
        <w:t>（三）</w:t>
      </w:r>
      <w:r>
        <w:rPr>
          <w:rFonts w:hint="eastAsia" w:ascii="楷体" w:eastAsia="楷体" w:cs="仿宋"/>
          <w:snapToGrid/>
          <w:kern w:val="2"/>
          <w:sz w:val="30"/>
          <w:szCs w:val="30"/>
        </w:rPr>
        <w:t>全国总决赛（1</w:t>
      </w:r>
      <w:r>
        <w:rPr>
          <w:rFonts w:ascii="楷体" w:eastAsia="楷体" w:cs="仿宋"/>
          <w:snapToGrid/>
          <w:kern w:val="2"/>
          <w:sz w:val="30"/>
          <w:szCs w:val="30"/>
        </w:rPr>
        <w:t>1</w:t>
      </w:r>
      <w:r>
        <w:rPr>
          <w:rFonts w:hint="eastAsia" w:ascii="楷体" w:eastAsia="楷体" w:cs="仿宋"/>
          <w:snapToGrid/>
          <w:kern w:val="2"/>
          <w:sz w:val="30"/>
          <w:szCs w:val="30"/>
        </w:rPr>
        <w:t>月上旬）</w:t>
      </w:r>
    </w:p>
    <w:p w14:paraId="540F8E60">
      <w:pPr>
        <w:widowControl w:val="0"/>
        <w:spacing w:line="360" w:lineRule="auto"/>
        <w:ind w:firstLine="600" w:firstLineChars="200"/>
        <w:contextualSpacing/>
        <w:jc w:val="both"/>
        <w:rPr>
          <w:rFonts w:ascii="仿宋" w:eastAsia="仿宋" w:cs="仿宋"/>
          <w:snapToGrid/>
          <w:kern w:val="2"/>
          <w:sz w:val="30"/>
          <w:szCs w:val="30"/>
        </w:rPr>
      </w:pPr>
      <w:r>
        <w:rPr>
          <w:rFonts w:hint="eastAsia" w:ascii="仿宋" w:eastAsia="仿宋" w:cs="仿宋"/>
          <w:snapToGrid/>
          <w:kern w:val="2"/>
          <w:sz w:val="30"/>
          <w:szCs w:val="30"/>
        </w:rPr>
        <w:t>总决赛由31名省级棋王组成参赛阵容，赛事整体为期 2天。赛事期间，将开展盲棋表演赛、擂台赛等多项活动。具体竞赛方法另行通知。</w:t>
      </w:r>
    </w:p>
    <w:p w14:paraId="4508E149">
      <w:pPr>
        <w:widowControl w:val="0"/>
        <w:spacing w:line="360" w:lineRule="auto"/>
        <w:ind w:firstLine="640" w:firstLineChars="200"/>
        <w:jc w:val="both"/>
        <w:rPr>
          <w:rFonts w:ascii="黑体" w:hAnsi="黑体" w:eastAsia="黑体" w:cs="仿宋"/>
          <w:kern w:val="2"/>
          <w:sz w:val="32"/>
          <w:szCs w:val="30"/>
        </w:rPr>
      </w:pPr>
      <w:r>
        <w:rPr>
          <w:rFonts w:hint="eastAsia" w:ascii="黑体" w:hAnsi="黑体" w:eastAsia="黑体" w:cs="仿宋"/>
          <w:kern w:val="2"/>
          <w:sz w:val="32"/>
          <w:szCs w:val="30"/>
        </w:rPr>
        <w:t>二、</w:t>
      </w:r>
      <w:r>
        <w:rPr>
          <w:rFonts w:hint="eastAsia" w:ascii="黑体" w:hAnsi="黑体" w:eastAsia="黑体" w:cs="仿宋"/>
          <w:kern w:val="2"/>
          <w:sz w:val="30"/>
          <w:szCs w:val="30"/>
        </w:rPr>
        <w:t>主题专场活动</w:t>
      </w:r>
    </w:p>
    <w:p w14:paraId="0E46FED7">
      <w:pPr>
        <w:widowControl w:val="0"/>
        <w:spacing w:line="360" w:lineRule="auto"/>
        <w:ind w:firstLine="600" w:firstLineChars="200"/>
        <w:jc w:val="both"/>
        <w:rPr>
          <w:rFonts w:ascii="仿宋" w:hAnsi="仿宋" w:eastAsia="仿宋" w:cs="仿宋"/>
          <w:snapToGrid/>
          <w:color w:val="000000"/>
          <w:kern w:val="2"/>
          <w:sz w:val="30"/>
          <w:szCs w:val="30"/>
          <w:u w:color="000000"/>
        </w:rPr>
      </w:pPr>
      <w:r>
        <w:rPr>
          <w:rFonts w:ascii="仿宋" w:hAnsi="仿宋" w:eastAsia="仿宋" w:cs="仿宋"/>
          <w:snapToGrid/>
          <w:color w:val="000000"/>
          <w:kern w:val="2"/>
          <w:sz w:val="30"/>
          <w:szCs w:val="30"/>
          <w:u w:color="000000"/>
        </w:rPr>
        <w:t>海选</w:t>
      </w:r>
      <w:r>
        <w:rPr>
          <w:rFonts w:hint="eastAsia" w:ascii="仿宋" w:hAnsi="仿宋" w:eastAsia="仿宋" w:cs="仿宋"/>
          <w:snapToGrid/>
          <w:color w:val="000000"/>
          <w:kern w:val="2"/>
          <w:sz w:val="30"/>
          <w:szCs w:val="30"/>
          <w:u w:color="000000"/>
        </w:rPr>
        <w:t>赛事期间</w:t>
      </w:r>
      <w:r>
        <w:rPr>
          <w:rFonts w:ascii="仿宋" w:hAnsi="仿宋" w:eastAsia="仿宋" w:cs="仿宋"/>
          <w:snapToGrid/>
          <w:color w:val="000000"/>
          <w:kern w:val="2"/>
          <w:sz w:val="30"/>
          <w:szCs w:val="30"/>
          <w:u w:color="000000"/>
        </w:rPr>
        <w:t>，</w:t>
      </w:r>
      <w:r>
        <w:rPr>
          <w:rFonts w:hint="eastAsia" w:ascii="仿宋" w:hAnsi="仿宋" w:eastAsia="仿宋" w:cs="仿宋"/>
          <w:snapToGrid/>
          <w:color w:val="000000"/>
          <w:kern w:val="2"/>
          <w:sz w:val="30"/>
          <w:szCs w:val="30"/>
          <w:u w:color="000000"/>
        </w:rPr>
        <w:t>通过丰富的专场活动和特色赛事，吸引象棋爱好者和合作伙伴踊跃参与，宣传推广健康向上的象棋文化和体彩品牌理念。</w:t>
      </w:r>
    </w:p>
    <w:p w14:paraId="14E74BC9">
      <w:pPr>
        <w:widowControl w:val="0"/>
        <w:spacing w:line="360" w:lineRule="auto"/>
        <w:ind w:firstLine="600" w:firstLineChars="200"/>
        <w:jc w:val="both"/>
        <w:rPr>
          <w:rFonts w:ascii="楷体" w:hAnsi="楷体" w:eastAsia="楷体" w:cs="仿宋"/>
          <w:snapToGrid/>
          <w:color w:val="000000"/>
          <w:kern w:val="2"/>
          <w:sz w:val="30"/>
          <w:szCs w:val="30"/>
          <w:u w:color="000000"/>
        </w:rPr>
      </w:pPr>
      <w:r>
        <w:rPr>
          <w:rFonts w:hint="eastAsia" w:ascii="楷体" w:hAnsi="楷体" w:eastAsia="楷体" w:cs="仿宋"/>
          <w:snapToGrid/>
          <w:color w:val="000000"/>
          <w:kern w:val="2"/>
          <w:sz w:val="30"/>
          <w:szCs w:val="30"/>
          <w:u w:color="000000"/>
        </w:rPr>
        <w:t>（一）职工象棋赛专场活动</w:t>
      </w:r>
    </w:p>
    <w:p w14:paraId="71ADE0C5">
      <w:pPr>
        <w:pStyle w:val="3"/>
        <w:ind w:firstLine="600" w:firstLineChars="200"/>
        <w:rPr>
          <w:lang w:val="en-US"/>
        </w:rPr>
      </w:pPr>
      <w:r>
        <w:rPr>
          <w:rFonts w:hint="eastAsia"/>
          <w:color w:val="000000"/>
          <w:kern w:val="2"/>
          <w:sz w:val="30"/>
          <w:szCs w:val="30"/>
          <w:u w:color="000000"/>
        </w:rPr>
        <w:t>鼓励各省（区、市）体彩中心联合属地象棋协会，面向体育主管部门、企事业单位</w:t>
      </w:r>
      <w:r>
        <w:rPr>
          <w:rFonts w:hint="eastAsia"/>
          <w:color w:val="000000"/>
          <w:kern w:val="2"/>
          <w:sz w:val="30"/>
          <w:szCs w:val="30"/>
          <w:u w:color="000000"/>
          <w:lang w:val="en-US"/>
        </w:rPr>
        <w:t>等</w:t>
      </w:r>
      <w:r>
        <w:rPr>
          <w:rFonts w:hint="eastAsia"/>
          <w:color w:val="000000"/>
          <w:kern w:val="2"/>
          <w:sz w:val="30"/>
          <w:szCs w:val="30"/>
          <w:u w:color="000000"/>
        </w:rPr>
        <w:t>开展不少于1场职工象棋主题专场赛事。活动现场设置体彩品牌展示专区，集中展示体彩助力体育强国建设成效与公益社会贡献，凝聚奋进精神，提升重点人群对体彩事业的认同度。具备条件的地区，可配套设置全民健身互动体验区域。</w:t>
      </w:r>
    </w:p>
    <w:p w14:paraId="3E00A538">
      <w:pPr>
        <w:widowControl w:val="0"/>
        <w:spacing w:line="360" w:lineRule="auto"/>
        <w:ind w:firstLine="600" w:firstLineChars="200"/>
        <w:jc w:val="both"/>
        <w:rPr>
          <w:rFonts w:ascii="楷体" w:hAnsi="楷体" w:eastAsia="楷体" w:cs="仿宋"/>
          <w:snapToGrid/>
          <w:color w:val="000000"/>
          <w:kern w:val="2"/>
          <w:sz w:val="30"/>
          <w:szCs w:val="30"/>
          <w:u w:color="000000"/>
        </w:rPr>
      </w:pPr>
      <w:r>
        <w:rPr>
          <w:rFonts w:hint="eastAsia" w:ascii="楷体" w:hAnsi="楷体" w:eastAsia="楷体" w:cs="仿宋"/>
          <w:snapToGrid/>
          <w:color w:val="000000"/>
          <w:kern w:val="2"/>
          <w:sz w:val="30"/>
          <w:szCs w:val="30"/>
          <w:u w:color="000000"/>
        </w:rPr>
        <w:t>（二）赛事走进乡村、社区活动</w:t>
      </w:r>
    </w:p>
    <w:p w14:paraId="48DF9F20">
      <w:pPr>
        <w:spacing w:line="360" w:lineRule="auto"/>
        <w:ind w:firstLine="600" w:firstLineChars="200"/>
        <w:jc w:val="both"/>
        <w:rPr>
          <w:rFonts w:ascii="仿宋" w:eastAsia="仿宋" w:cs="仿宋"/>
          <w:snapToGrid/>
          <w:color w:val="000000"/>
          <w:kern w:val="2"/>
          <w:sz w:val="30"/>
          <w:szCs w:val="30"/>
          <w:u w:color="000000"/>
        </w:rPr>
      </w:pPr>
      <w:r>
        <w:rPr>
          <w:rFonts w:hint="eastAsia" w:ascii="仿宋" w:eastAsia="仿宋" w:cs="仿宋"/>
          <w:snapToGrid/>
          <w:color w:val="000000"/>
          <w:kern w:val="2"/>
          <w:sz w:val="30"/>
          <w:szCs w:val="30"/>
          <w:u w:color="000000"/>
        </w:rPr>
        <w:t>鼓励各级体彩机构深化与社区联动，开展赛事走进乡村、社区活动，通过多元象棋互动体验场景，融合全民健身科普与实践体验，激发社区居民对象棋运动及全民健身的兴趣与热情。同步发挥社区资源辐射效应，引导社区周边实体店深度参与活动，将活动流量转化为实体店客源，助力实体店实现拉新拓客与品牌传播的双重提升。</w:t>
      </w:r>
    </w:p>
    <w:p w14:paraId="0F61E0BB">
      <w:pPr>
        <w:widowControl w:val="0"/>
        <w:spacing w:line="360" w:lineRule="auto"/>
        <w:ind w:firstLine="600" w:firstLineChars="200"/>
        <w:jc w:val="both"/>
        <w:rPr>
          <w:rFonts w:ascii="楷体" w:hAnsi="楷体" w:eastAsia="楷体" w:cs="仿宋"/>
          <w:snapToGrid/>
          <w:color w:val="000000"/>
          <w:kern w:val="2"/>
          <w:sz w:val="30"/>
          <w:szCs w:val="30"/>
          <w:u w:color="000000"/>
        </w:rPr>
      </w:pPr>
      <w:r>
        <w:rPr>
          <w:rFonts w:hint="eastAsia" w:ascii="楷体" w:hAnsi="楷体" w:eastAsia="楷体" w:cs="仿宋"/>
          <w:snapToGrid/>
          <w:color w:val="000000"/>
          <w:kern w:val="2"/>
          <w:sz w:val="30"/>
          <w:szCs w:val="30"/>
          <w:u w:color="000000"/>
        </w:rPr>
        <w:t>（三）象棋大师探店活动</w:t>
      </w:r>
    </w:p>
    <w:p w14:paraId="4396AE34">
      <w:pPr>
        <w:widowControl w:val="0"/>
        <w:spacing w:line="360" w:lineRule="auto"/>
        <w:ind w:firstLine="600" w:firstLineChars="200"/>
        <w:jc w:val="both"/>
        <w:rPr>
          <w:rFonts w:ascii="仿宋" w:eastAsia="仿宋" w:cs="仿宋"/>
          <w:snapToGrid/>
          <w:color w:val="000000"/>
          <w:kern w:val="2"/>
          <w:sz w:val="30"/>
          <w:szCs w:val="30"/>
          <w:u w:color="000000"/>
        </w:rPr>
      </w:pPr>
      <w:r>
        <w:rPr>
          <w:rFonts w:hint="eastAsia" w:ascii="仿宋" w:eastAsia="仿宋" w:cs="仿宋"/>
          <w:snapToGrid/>
          <w:color w:val="000000"/>
          <w:kern w:val="2"/>
          <w:sz w:val="30"/>
          <w:szCs w:val="30"/>
          <w:u w:color="000000"/>
        </w:rPr>
        <w:t>鼓励</w:t>
      </w:r>
      <w:r>
        <w:rPr>
          <w:rFonts w:ascii="仿宋" w:eastAsia="仿宋" w:cs="仿宋"/>
          <w:snapToGrid/>
          <w:color w:val="000000"/>
          <w:kern w:val="2"/>
          <w:sz w:val="30"/>
          <w:szCs w:val="30"/>
          <w:u w:color="000000"/>
        </w:rPr>
        <w:t>各省（区、市）体彩中心</w:t>
      </w:r>
      <w:r>
        <w:rPr>
          <w:rFonts w:hint="eastAsia" w:ascii="仿宋" w:eastAsia="仿宋" w:cs="仿宋"/>
          <w:snapToGrid/>
          <w:color w:val="000000"/>
          <w:kern w:val="2"/>
          <w:sz w:val="30"/>
          <w:szCs w:val="30"/>
          <w:u w:color="000000"/>
        </w:rPr>
        <w:t>联合地方象棋协会，共同策划组织象棋大师探店活动。活动可优选“精品实体店”，邀请知名象棋大师亲临店内，与象棋爱好者进行面对面互动交流。同时，鼓励有条件的地区邀请契合体彩品牌形象的 KOL 对活动进行直播宣传，以扩大活动影响力。</w:t>
      </w:r>
    </w:p>
    <w:p w14:paraId="59044400">
      <w:pPr>
        <w:widowControl w:val="0"/>
        <w:spacing w:line="360" w:lineRule="auto"/>
        <w:ind w:firstLine="600" w:firstLineChars="200"/>
        <w:jc w:val="both"/>
        <w:rPr>
          <w:rFonts w:ascii="楷体" w:hAnsi="楷体" w:eastAsia="楷体" w:cs="仿宋"/>
          <w:snapToGrid/>
          <w:color w:val="000000"/>
          <w:kern w:val="2"/>
          <w:sz w:val="30"/>
          <w:szCs w:val="30"/>
          <w:u w:color="000000"/>
        </w:rPr>
      </w:pPr>
      <w:r>
        <w:rPr>
          <w:rFonts w:hint="eastAsia" w:ascii="楷体" w:hAnsi="楷体" w:eastAsia="楷体" w:cs="仿宋"/>
          <w:snapToGrid/>
          <w:color w:val="000000"/>
          <w:kern w:val="2"/>
          <w:sz w:val="30"/>
          <w:szCs w:val="30"/>
          <w:u w:color="000000"/>
        </w:rPr>
        <w:t>（四）青少年象棋公益专场活动</w:t>
      </w:r>
    </w:p>
    <w:p w14:paraId="4FBBFF6E">
      <w:pPr>
        <w:widowControl w:val="0"/>
        <w:spacing w:line="360" w:lineRule="auto"/>
        <w:ind w:firstLine="600" w:firstLineChars="200"/>
        <w:jc w:val="both"/>
        <w:rPr>
          <w:rFonts w:ascii="仿宋" w:hAnsi="仿宋" w:eastAsia="仿宋" w:cs="仿宋"/>
          <w:snapToGrid/>
          <w:color w:val="000000"/>
          <w:kern w:val="2"/>
          <w:sz w:val="30"/>
          <w:szCs w:val="30"/>
          <w:u w:color="000000"/>
        </w:rPr>
      </w:pPr>
      <w:r>
        <w:rPr>
          <w:rFonts w:hint="eastAsia" w:ascii="仿宋" w:eastAsia="仿宋" w:cs="仿宋"/>
          <w:snapToGrid/>
          <w:color w:val="000000"/>
          <w:kern w:val="2"/>
          <w:sz w:val="30"/>
          <w:szCs w:val="30"/>
          <w:u w:color="000000"/>
        </w:rPr>
        <w:t>鼓励</w:t>
      </w:r>
      <w:r>
        <w:rPr>
          <w:rFonts w:ascii="仿宋" w:eastAsia="仿宋" w:cs="仿宋"/>
          <w:snapToGrid/>
          <w:color w:val="000000"/>
          <w:kern w:val="2"/>
          <w:sz w:val="30"/>
          <w:szCs w:val="30"/>
          <w:u w:color="000000"/>
        </w:rPr>
        <w:t>各省（区、市）体彩中心</w:t>
      </w:r>
      <w:r>
        <w:rPr>
          <w:rFonts w:hint="eastAsia" w:ascii="仿宋" w:eastAsia="仿宋" w:cs="仿宋"/>
          <w:snapToGrid/>
          <w:color w:val="000000"/>
          <w:kern w:val="2"/>
          <w:sz w:val="30"/>
          <w:szCs w:val="30"/>
          <w:u w:color="000000"/>
        </w:rPr>
        <w:t>联合地方象棋协会，结合自主开展的快乐操场或象棋协会校级赛、大学生象棋锦标赛等赛事活动开展象棋公益专场活动。通过邀约知名象棋大师或专业象棋老师参与捐赠仪式或开展象棋公益课等方式，与在校师生积极互动，通过棋王赛事与公益活动结合，推广象棋运动，提升体彩公益品牌的形象与影响力。</w:t>
      </w:r>
    </w:p>
    <w:p w14:paraId="0D1EB99D">
      <w:pPr>
        <w:widowControl w:val="0"/>
        <w:spacing w:line="360" w:lineRule="auto"/>
        <w:ind w:firstLine="600" w:firstLineChars="200"/>
        <w:jc w:val="both"/>
        <w:rPr>
          <w:rFonts w:ascii="楷体" w:hAnsi="楷体" w:eastAsia="楷体" w:cs="仿宋"/>
          <w:snapToGrid/>
          <w:color w:val="000000"/>
          <w:kern w:val="2"/>
          <w:sz w:val="30"/>
          <w:szCs w:val="30"/>
          <w:u w:color="000000"/>
        </w:rPr>
      </w:pPr>
      <w:r>
        <w:rPr>
          <w:rFonts w:hint="eastAsia" w:ascii="楷体" w:hAnsi="楷体" w:eastAsia="楷体" w:cs="仿宋"/>
          <w:snapToGrid/>
          <w:color w:val="000000"/>
          <w:kern w:val="2"/>
          <w:sz w:val="30"/>
          <w:szCs w:val="30"/>
          <w:u w:color="000000"/>
        </w:rPr>
        <w:t>（五）象棋文化主题店建设</w:t>
      </w:r>
    </w:p>
    <w:p w14:paraId="49B78492">
      <w:r>
        <w:rPr>
          <w:rFonts w:hint="eastAsia" w:ascii="仿宋" w:eastAsia="仿宋" w:cs="仿宋"/>
          <w:snapToGrid/>
          <w:color w:val="000000"/>
          <w:kern w:val="2"/>
          <w:sz w:val="30"/>
          <w:szCs w:val="30"/>
          <w:u w:color="000000"/>
        </w:rPr>
        <w:t>海选活动期间，鼓励省（区、市）体彩中心积极布局实体渠道形象升级，高效发挥品牌与渠道合力，打造 “体彩 + 象棋文化” 创新场景，通过整体改造或元素装饰及区域布建等局部优化，建设象棋文化主题店。</w:t>
      </w:r>
    </w:p>
    <w:p w14:paraId="62D696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C6606"/>
    <w:rsid w:val="6E8C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First Indent"/>
    <w:basedOn w:val="2"/>
    <w:qFormat/>
    <w:uiPriority w:val="0"/>
    <w:pPr>
      <w:autoSpaceDE w:val="0"/>
      <w:autoSpaceDN w:val="0"/>
      <w:spacing w:after="0" w:line="312" w:lineRule="auto"/>
      <w:ind w:firstLine="420"/>
      <w:jc w:val="left"/>
    </w:pPr>
    <w:rPr>
      <w:rFonts w:hint="eastAsia" w:ascii="仿宋" w:hAnsi="Times New Roman" w:eastAsia="仿宋" w:cs="Times New Roman"/>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2026-07-16T02:37:00Z</dcterms:created>
  <dc:creator>Sparkle.</dc:creator>
  <cp:lastModifiedBy>Sparkle.</cp:lastModifiedBy>
  <dcterms:modified xsi:type="dcterms:W3CDTF">2026-07-16T02:38:14Z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266515569010494BA823720AA5ADDF1B_11</vt:lpwstr>
  </property>
  <property fmtid="{D5CDD505-2E9C-101B-9397-08002B2CF9AE}" pid="4" name="KSOTemplateDocerSaveRecord">
    <vt:lpwstr>eyJoZGlkIjoiNzlmNmU1ZTZjN2Q5YTFhM2E5NDhlN2RlNjI5Y2RiMWEiLCJ1c2VySWQiOiI0NDI1ODk5MjgifQ==</vt:lpwstr>
  </property>
</Properties>
</file>