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77" w:rsidRDefault="00E40777" w:rsidP="00E40777">
      <w:pPr>
        <w:wordWrap w:val="0"/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</w:p>
    <w:p w:rsidR="00E40777" w:rsidRDefault="00E40777" w:rsidP="00E40777"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中国象棋协会赛事活动服务收费办法（试行）</w:t>
      </w:r>
    </w:p>
    <w:p w:rsidR="00E40777" w:rsidRDefault="00E40777" w:rsidP="00E40777">
      <w:pPr>
        <w:spacing w:before="24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（征求意见稿）</w:t>
      </w:r>
    </w:p>
    <w:bookmarkEnd w:id="0"/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 xml:space="preserve">  为规范中国象棋协会赛事活动服务收费行为，根据</w:t>
      </w:r>
      <w:r>
        <w:rPr>
          <w:rFonts w:ascii="仿宋" w:eastAsia="仿宋" w:hAnsi="仿宋" w:cs="仿宋" w:hint="eastAsia"/>
          <w:kern w:val="0"/>
          <w:sz w:val="32"/>
          <w:szCs w:val="32"/>
        </w:rPr>
        <w:t>《国家发展改革委关于进一步规范行业协会商会收费管理的意见》（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发改经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体〔2017〕1999 号）、《体育总局关于进一步加强体育赛事活动监管和服务工作的通知》（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体政字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〔2019〕20 号）、《中国象棋协会章程》等文件精神，制定本办法。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中国象棋协会（以下简称中国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协）根据国家法律法规关于经营者义务的相关规定和自愿有偿的原则，按照《中国象棋协会章程》规定的宗旨和业务范围，为各项赛事活动提供技术指导和赛事服务，并根据赛事协议，收取相应赛事服务费。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协提供的服务内容包括：</w:t>
      </w:r>
    </w:p>
    <w:p w:rsidR="00E40777" w:rsidRDefault="00E40777" w:rsidP="00E40777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认证服务：对比赛级别和参赛棋手水平进行分级、认证，保障赛事品质；</w:t>
      </w:r>
    </w:p>
    <w:p w:rsidR="00E40777" w:rsidRDefault="00E40777" w:rsidP="00E40777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竞赛服务：</w:t>
      </w:r>
    </w:p>
    <w:p w:rsidR="00E40777" w:rsidRDefault="00E40777" w:rsidP="00E40777">
      <w:pPr>
        <w:numPr>
          <w:ilvl w:val="0"/>
          <w:numId w:val="3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审核竞赛规程、竞赛补充规定等竞赛文件；</w:t>
      </w:r>
    </w:p>
    <w:p w:rsidR="00E40777" w:rsidRDefault="00E40777" w:rsidP="00E40777">
      <w:pPr>
        <w:numPr>
          <w:ilvl w:val="0"/>
          <w:numId w:val="3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协规则的咨询服务；</w:t>
      </w:r>
    </w:p>
    <w:p w:rsidR="00E40777" w:rsidRDefault="00E40777" w:rsidP="00E40777">
      <w:pPr>
        <w:numPr>
          <w:ilvl w:val="0"/>
          <w:numId w:val="3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对符合要求的赛事，计算参赛棋手等级分；</w:t>
      </w:r>
    </w:p>
    <w:p w:rsidR="00E40777" w:rsidRDefault="00E40777" w:rsidP="00E40777">
      <w:pPr>
        <w:numPr>
          <w:ilvl w:val="0"/>
          <w:numId w:val="3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选派、培训赛事所需的各级裁判；</w:t>
      </w:r>
    </w:p>
    <w:p w:rsidR="00E40777" w:rsidRDefault="00E40777" w:rsidP="00E40777">
      <w:pPr>
        <w:numPr>
          <w:ilvl w:val="0"/>
          <w:numId w:val="3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对比赛过程进行技术监督、申诉受理、仲裁等服务；</w:t>
      </w:r>
    </w:p>
    <w:p w:rsidR="00E40777" w:rsidRDefault="00E40777" w:rsidP="00E40777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证书服务：</w:t>
      </w:r>
    </w:p>
    <w:p w:rsidR="00E40777" w:rsidRDefault="00E40777" w:rsidP="00E40777">
      <w:pPr>
        <w:numPr>
          <w:ilvl w:val="0"/>
          <w:numId w:val="4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为比赛提供成绩证书；</w:t>
      </w:r>
    </w:p>
    <w:p w:rsidR="00E40777" w:rsidRDefault="00E40777" w:rsidP="00E40777">
      <w:pPr>
        <w:numPr>
          <w:ilvl w:val="0"/>
          <w:numId w:val="4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参赛棋手可按照规定申请技术等级证书；</w:t>
      </w:r>
    </w:p>
    <w:p w:rsidR="00E40777" w:rsidRDefault="00E40777" w:rsidP="00E40777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宣传及无形资产服务：</w:t>
      </w:r>
    </w:p>
    <w:p w:rsidR="00E40777" w:rsidRDefault="00E40777" w:rsidP="00E40777">
      <w:pPr>
        <w:numPr>
          <w:ilvl w:val="0"/>
          <w:numId w:val="5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象协官网宣传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服务；</w:t>
      </w:r>
    </w:p>
    <w:p w:rsidR="00E40777" w:rsidRDefault="00E40777" w:rsidP="00E40777">
      <w:pPr>
        <w:numPr>
          <w:ilvl w:val="0"/>
          <w:numId w:val="5"/>
        </w:numPr>
        <w:ind w:left="0"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提供使用中国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协标识等无形资产服务；</w:t>
      </w:r>
    </w:p>
    <w:p w:rsidR="00E40777" w:rsidRDefault="00E40777" w:rsidP="00E40777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外事服务：为国内举办的国际赛事提供外事服务；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根据赛事级别、规模、服务内容等，赛事分为A类、B类、C类以及甲级联赛共四类赛事。</w:t>
      </w:r>
    </w:p>
    <w:p w:rsidR="00E40777" w:rsidRDefault="00E40777" w:rsidP="00E40777">
      <w:pPr>
        <w:numPr>
          <w:ilvl w:val="0"/>
          <w:numId w:val="6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A类赛事，是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指邀请冠军棋手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或依照等级分序列邀请棋手参加的赛事，或由中国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象协参与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举办的国际性赛事：</w:t>
      </w:r>
    </w:p>
    <w:p w:rsidR="00E40777" w:rsidRDefault="00E40777" w:rsidP="00E40777">
      <w:pPr>
        <w:numPr>
          <w:ilvl w:val="0"/>
          <w:numId w:val="6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B类赛事，是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指邀请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大师或公开报名的全国性赛事；</w:t>
      </w:r>
    </w:p>
    <w:p w:rsidR="00E40777" w:rsidRDefault="00E40777" w:rsidP="00E40777">
      <w:pPr>
        <w:numPr>
          <w:ilvl w:val="0"/>
          <w:numId w:val="6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C类赛事，是指中国象棋协会棋协大师赛。</w:t>
      </w:r>
    </w:p>
    <w:p w:rsidR="00E40777" w:rsidRDefault="00E40777" w:rsidP="00E40777">
      <w:pPr>
        <w:numPr>
          <w:ilvl w:val="0"/>
          <w:numId w:val="6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甲级联赛，是指由中国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协主办的全国象棋男子甲级联赛和全国象棋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女子甲级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联赛；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协根据赛事分类，原则上根据各类赛事规模、办赛难易程度、技术服务内容以及市场需求等因素确定赛事服务费金额，指导价格如下：（人民币）</w:t>
      </w:r>
    </w:p>
    <w:p w:rsidR="00E40777" w:rsidRDefault="00E40777" w:rsidP="00E40777">
      <w:pPr>
        <w:numPr>
          <w:ilvl w:val="0"/>
          <w:numId w:val="7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A类赛事：6-20万元；</w:t>
      </w:r>
    </w:p>
    <w:p w:rsidR="00E40777" w:rsidRDefault="00E40777" w:rsidP="00E40777">
      <w:pPr>
        <w:numPr>
          <w:ilvl w:val="0"/>
          <w:numId w:val="7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B类赛事：3-5万元；</w:t>
      </w:r>
    </w:p>
    <w:p w:rsidR="00E40777" w:rsidRDefault="00E40777" w:rsidP="00E40777">
      <w:pPr>
        <w:numPr>
          <w:ilvl w:val="0"/>
          <w:numId w:val="7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C类赛事：2-4万元；</w:t>
      </w:r>
    </w:p>
    <w:p w:rsidR="00E40777" w:rsidRDefault="00E40777" w:rsidP="00E40777">
      <w:pPr>
        <w:numPr>
          <w:ilvl w:val="0"/>
          <w:numId w:val="7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甲级联赛：15-20万元；</w:t>
      </w:r>
    </w:p>
    <w:p w:rsidR="00E40777" w:rsidRDefault="00E40777" w:rsidP="00E40777">
      <w:pPr>
        <w:numPr>
          <w:ilvl w:val="0"/>
          <w:numId w:val="7"/>
        </w:num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象协担任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指导单位的赛事，根据赛事等级相对应服务费的60%收取。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象协依据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指导价格确定各赛事的赛事活动服务费，原则上不得低于指导价格。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支持象棋竞赛与文化表演相结合，打造具有民族特色的象棋竞赛表演品牌项目。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对于创新的竞赛表演赛事，中国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象协经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评估将给予减免赛事服务费等形式的支持。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涉及国家级贫困县的县市，由当地申办单位提出申请，中国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象协经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评估将免除赛事服务费。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不在本办法内规定的其他象棋赛事及活动，由中国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协根据服务内容和数量，参照本办法，根据赛事及活动协议收取赛事服务费。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本办法由中国象棋协会负责解释。</w:t>
      </w:r>
    </w:p>
    <w:p w:rsidR="00E40777" w:rsidRDefault="00E40777" w:rsidP="00E40777">
      <w:pPr>
        <w:numPr>
          <w:ilvl w:val="0"/>
          <w:numId w:val="1"/>
        </w:numPr>
        <w:tabs>
          <w:tab w:val="left" w:pos="0"/>
        </w:tabs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本办法自2019年  月  日起施行。</w:t>
      </w:r>
    </w:p>
    <w:p w:rsidR="00E40777" w:rsidRDefault="00E40777" w:rsidP="00E40777">
      <w:pPr>
        <w:wordWrap w:val="0"/>
        <w:spacing w:line="480" w:lineRule="exact"/>
        <w:rPr>
          <w:rFonts w:ascii="仿宋" w:eastAsia="仿宋" w:hAnsi="仿宋" w:cs="仿宋" w:hint="eastAsia"/>
          <w:sz w:val="32"/>
          <w:szCs w:val="32"/>
        </w:rPr>
      </w:pPr>
    </w:p>
    <w:p w:rsidR="0098701B" w:rsidRDefault="00CC4FA4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A4" w:rsidRDefault="00CC4FA4" w:rsidP="00E40777">
      <w:r>
        <w:separator/>
      </w:r>
    </w:p>
  </w:endnote>
  <w:endnote w:type="continuationSeparator" w:id="0">
    <w:p w:rsidR="00CC4FA4" w:rsidRDefault="00CC4FA4" w:rsidP="00E4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A4" w:rsidRDefault="00CC4FA4" w:rsidP="00E40777">
      <w:r>
        <w:separator/>
      </w:r>
    </w:p>
  </w:footnote>
  <w:footnote w:type="continuationSeparator" w:id="0">
    <w:p w:rsidR="00CC4FA4" w:rsidRDefault="00CC4FA4" w:rsidP="00E4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4AEFD"/>
    <w:multiLevelType w:val="singleLevel"/>
    <w:tmpl w:val="9D44AEFD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1">
    <w:nsid w:val="F3B062E9"/>
    <w:multiLevelType w:val="singleLevel"/>
    <w:tmpl w:val="F3B062E9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">
    <w:nsid w:val="20A4A5F0"/>
    <w:multiLevelType w:val="singleLevel"/>
    <w:tmpl w:val="20A4A5F0"/>
    <w:lvl w:ilvl="0">
      <w:start w:val="1"/>
      <w:numFmt w:val="chineseCounting"/>
      <w:suff w:val="nothing"/>
      <w:lvlText w:val="第%1条"/>
      <w:lvlJc w:val="left"/>
      <w:pPr>
        <w:tabs>
          <w:tab w:val="num" w:pos="0"/>
        </w:tabs>
        <w:ind w:left="0" w:firstLine="420"/>
      </w:pPr>
      <w:rPr>
        <w:rFonts w:ascii="Times New Roman" w:eastAsia="黑体" w:hAnsi="Times New Roman" w:hint="eastAsia"/>
      </w:rPr>
    </w:lvl>
  </w:abstractNum>
  <w:abstractNum w:abstractNumId="3">
    <w:nsid w:val="397B97B5"/>
    <w:multiLevelType w:val="singleLevel"/>
    <w:tmpl w:val="397B97B5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4">
    <w:nsid w:val="5C3CD46A"/>
    <w:multiLevelType w:val="singleLevel"/>
    <w:tmpl w:val="5C3CD46A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5">
    <w:nsid w:val="6DFF082F"/>
    <w:multiLevelType w:val="singleLevel"/>
    <w:tmpl w:val="6DFF082F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6">
    <w:nsid w:val="78818428"/>
    <w:multiLevelType w:val="singleLevel"/>
    <w:tmpl w:val="78818428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41"/>
    <w:rsid w:val="006C21D9"/>
    <w:rsid w:val="00946241"/>
    <w:rsid w:val="00CC4FA4"/>
    <w:rsid w:val="00E40777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2019-03-22T09:40:00Z</dcterms:created>
  <dcterms:modified xsi:type="dcterms:W3CDTF">2019-03-22T09:40:00Z</dcterms:modified>
</cp:coreProperties>
</file>