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4" w:rsidRDefault="00E26024" w:rsidP="00E26024">
      <w:pPr>
        <w:spacing w:before="240" w:after="240" w:line="60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26024" w:rsidRDefault="00E26024" w:rsidP="00E26024">
      <w:pPr>
        <w:spacing w:before="240" w:after="24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全国象棋特色学校（幼儿园）、俱乐部会员</w:t>
      </w:r>
    </w:p>
    <w:p w:rsidR="00E26024" w:rsidRDefault="00E26024" w:rsidP="00E26024">
      <w:pPr>
        <w:spacing w:before="24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管理办法（试行）（征求意见稿）</w:t>
      </w:r>
    </w:p>
    <w:bookmarkEnd w:id="0"/>
    <w:p w:rsidR="00E26024" w:rsidRDefault="00E26024" w:rsidP="00E26024">
      <w:pPr>
        <w:spacing w:before="240" w:after="24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第一章  总  则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为进一步加强中国象棋协会会员队伍建设，调动社会有关方面的积极性，促进象棋项目的普及与提高，根据《中国象棋协会章程》、《中国象棋协会会员管理办法（试行）》等相关文件，特制定本办法。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本办法所称“特色学校（幼儿园）、俱乐部会员”，是指经中国象棋协会（以下简称“中国象协”）批准入会、在象棋运动普及和活动开展方面具有相当基础和特色，具有法人资格的中、小学校、幼儿园及俱乐部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“特色学校（幼儿园）、俱乐部会员”有效期限为四年。 </w:t>
      </w:r>
    </w:p>
    <w:p w:rsidR="00E26024" w:rsidRDefault="00E26024" w:rsidP="00E26024">
      <w:pPr>
        <w:spacing w:before="240" w:after="240" w:line="6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第二章 会员标准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申请成为“特色学校（幼儿园）会员”的单位应同时具备下列条件：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（一）该单位有1名副校长主管象棋在学校的开展工作，并将其纳入学校的中长期发展规划。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（二）该单位有专项经费支持象棋活动开展。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（三）该单位具备开展象棋项目的教学、培训的专门场地和比赛器材。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（四）该单位开展象棋特色教育2年以上。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（五）象棋为校</w:t>
      </w:r>
      <w:r>
        <w:rPr>
          <w:rFonts w:ascii="仿宋_GB2312" w:eastAsia="仿宋_GB2312" w:hint="eastAsia"/>
          <w:color w:val="000000"/>
          <w:sz w:val="32"/>
          <w:szCs w:val="32"/>
        </w:rPr>
        <w:t>本课程或选修课程，为选修课程的应有超过半数的学生参加这一课程。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（六）该单位拥有专职或者兼职象棋教师（或教练员）1人（含）以上，需持有下列资质之一： 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1、国家体育总局颁发的教练员岗位培训合格证书；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协教练员、辅导员证书；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3、象棋棋协大师、一级运动员及以上技术等级证书。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（七）该单位每学期至少开展1次比赛或主题活动。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该单位在校学生获得棋协五级棋士（含）以上证书至少1人，或者获得棋协六级棋士（含）以上证书至少2人，或者两年之内获得市级（含）以上学校比赛团体前三名。申请单位为幼儿园的可适当放宽该项标准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申请成为“特色俱乐部会员”的单位应同时具备下列条件：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具有固定的管理人员、场所和规范的管理体系。有“特色俱乐部会员”发展的目标和规划。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每年有固定的经费或赞助，能保证开展象棋活动的需要。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重视青少年象棋培训工作，实行象棋进学校活动5所以上，长期开展象棋培训活动。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俱乐部拥有会员人数200人以上。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拥有经协会认证的教练员3人以上。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每年参加各级各类比赛。 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规范办学，管理有序，社会诚信度较高。</w:t>
      </w:r>
    </w:p>
    <w:p w:rsidR="00E26024" w:rsidRDefault="00E26024" w:rsidP="00E2602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该单位在校学生获得棋协二级棋士（含）以上证书至少1人，或者获得棋协三级棋士（含）以上证书至少2人，或者两年之内获得市级（含）以上学校比赛团体前三名。</w:t>
      </w:r>
    </w:p>
    <w:p w:rsidR="00E26024" w:rsidRDefault="00E26024" w:rsidP="00E26024">
      <w:pPr>
        <w:spacing w:before="240" w:after="240" w:line="600" w:lineRule="exact"/>
        <w:ind w:left="420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第三章 权利和义务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 特色学校（幼儿园）、俱乐部会员享有以下权利：</w:t>
      </w:r>
    </w:p>
    <w:p w:rsidR="00E26024" w:rsidRDefault="00E26024" w:rsidP="00E26024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享有在本地区使用“全国象棋特色学校（幼儿园）、俱乐部”的名称依法开展活动的权利；</w:t>
      </w:r>
    </w:p>
    <w:p w:rsidR="00E26024" w:rsidRDefault="00E26024" w:rsidP="00E26024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享有参加由中国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协举办的青少年象棋比赛及其他相关赛事活动的权利；</w:t>
      </w:r>
    </w:p>
    <w:p w:rsidR="00E26024" w:rsidRDefault="00E26024" w:rsidP="00E26024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享有获得中国</w:t>
      </w:r>
      <w:proofErr w:type="gramStart"/>
      <w:r>
        <w:rPr>
          <w:rFonts w:ascii="仿宋_GB2312" w:eastAsia="仿宋_GB2312" w:hint="eastAsia"/>
          <w:sz w:val="32"/>
          <w:szCs w:val="32"/>
        </w:rPr>
        <w:t>象协给予</w:t>
      </w:r>
      <w:proofErr w:type="gramEnd"/>
      <w:r>
        <w:rPr>
          <w:rFonts w:ascii="仿宋_GB2312" w:eastAsia="仿宋_GB2312" w:hint="eastAsia"/>
          <w:sz w:val="32"/>
          <w:szCs w:val="32"/>
        </w:rPr>
        <w:t>项目开展方面的政策倾斜及业务支持的权利。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特色学校（幼儿园）、俱乐部会员履行下列义务：</w:t>
      </w:r>
    </w:p>
    <w:p w:rsidR="00E26024" w:rsidRDefault="00E26024" w:rsidP="00E26024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应拥护中国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协的章程；</w:t>
      </w:r>
    </w:p>
    <w:p w:rsidR="00E26024" w:rsidRDefault="00E26024" w:rsidP="00E26024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有加入中国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协的意愿；</w:t>
      </w:r>
    </w:p>
    <w:p w:rsidR="00E26024" w:rsidRDefault="00E26024" w:rsidP="00E26024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按规定交纳会费；</w:t>
      </w:r>
    </w:p>
    <w:p w:rsidR="00E26024" w:rsidRDefault="00E26024" w:rsidP="00E26024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有承办省级以上的象棋比赛或培训的义务;</w:t>
      </w:r>
    </w:p>
    <w:p w:rsidR="00E26024" w:rsidRDefault="00E26024" w:rsidP="00E26024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有接受各省、自治区、直辖市象棋协会（以下统称A类会员单位）指导、监督的义务。</w:t>
      </w:r>
    </w:p>
    <w:p w:rsidR="00E26024" w:rsidRDefault="00E26024" w:rsidP="00E26024">
      <w:pPr>
        <w:spacing w:before="240" w:after="240" w:line="600" w:lineRule="exact"/>
        <w:jc w:val="center"/>
        <w:rPr>
          <w:rFonts w:ascii="仿宋_GB2312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第四章 入会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“特色学校（幼儿园）、俱乐部会员”的入会工作实行基层申请，地方审核、推荐，协会审批、监管的制度。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proofErr w:type="gramStart"/>
      <w:r>
        <w:rPr>
          <w:rFonts w:ascii="仿宋_GB2312" w:eastAsia="仿宋_GB2312" w:hint="eastAsia"/>
          <w:sz w:val="32"/>
          <w:szCs w:val="32"/>
        </w:rPr>
        <w:t>象协全面</w:t>
      </w:r>
      <w:proofErr w:type="gramEnd"/>
      <w:r>
        <w:rPr>
          <w:rFonts w:ascii="仿宋_GB2312" w:eastAsia="仿宋_GB2312" w:hint="eastAsia"/>
          <w:sz w:val="32"/>
          <w:szCs w:val="32"/>
        </w:rPr>
        <w:t>统筹管理并组织实施“特色学校（幼儿园）、俱乐部会员”的审批工作。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A类会员单位为申请入会工作的地方指导单位，应积极配合中国</w:t>
      </w:r>
      <w:proofErr w:type="gramStart"/>
      <w:r>
        <w:rPr>
          <w:rFonts w:ascii="仿宋_GB2312" w:eastAsia="仿宋_GB2312" w:hint="eastAsia"/>
          <w:sz w:val="32"/>
          <w:szCs w:val="32"/>
        </w:rPr>
        <w:t>象协做好</w:t>
      </w:r>
      <w:proofErr w:type="gramEnd"/>
      <w:r>
        <w:rPr>
          <w:rFonts w:ascii="仿宋_GB2312" w:eastAsia="仿宋_GB2312" w:hint="eastAsia"/>
          <w:sz w:val="32"/>
          <w:szCs w:val="32"/>
        </w:rPr>
        <w:t>相关工作。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象棋特色学校（幼儿园）、俱乐部会员入会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“特色学校（幼儿园）、俱乐部会员”的申请程序：申报单位提出申请，经所属地基层教育或体育部门同意，经省级协会会员初审合格后将申报材料和初审意见报送中国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协。 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“特色学校（幼儿园）、俱乐部会员”申报材料须包括：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（一）加盖公章的入会申请表。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（二）单位法人登记证书（复印件）。</w:t>
      </w:r>
    </w:p>
    <w:p w:rsidR="00E26024" w:rsidRDefault="00E26024" w:rsidP="00E2602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（三）本单位开展象棋特色教育的其他相关材料。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“特色学校（幼儿园）、俱乐部会员”的审批程序：中国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协于每年10月至次年3月开放入会申请，并酌情组织人员对申报单位进行实地考察（或委托当地有关部门进行考察）；协会研究决定批准意见。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申报单位应积极配合中国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协和A类会员单位完成各项考察工作。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对获批准的申报单位，由中国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协正式颁发会员证并在中国</w:t>
      </w:r>
      <w:proofErr w:type="gramStart"/>
      <w:r>
        <w:rPr>
          <w:rFonts w:ascii="仿宋_GB2312" w:eastAsia="仿宋_GB2312" w:hint="eastAsia"/>
          <w:sz w:val="32"/>
          <w:szCs w:val="32"/>
        </w:rPr>
        <w:t>象协官</w:t>
      </w:r>
      <w:proofErr w:type="gramEnd"/>
      <w:r>
        <w:rPr>
          <w:rFonts w:ascii="仿宋_GB2312" w:eastAsia="仿宋_GB2312" w:hint="eastAsia"/>
          <w:sz w:val="32"/>
          <w:szCs w:val="32"/>
        </w:rPr>
        <w:t>网上予以公布。</w:t>
      </w:r>
    </w:p>
    <w:p w:rsidR="00E26024" w:rsidRDefault="00E26024" w:rsidP="00E2602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对未被批准的单位，中国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协将复函说明理由，并做好指导和鼓励工作。</w:t>
      </w:r>
    </w:p>
    <w:p w:rsidR="00E26024" w:rsidRDefault="00E26024" w:rsidP="00E26024">
      <w:pPr>
        <w:tabs>
          <w:tab w:val="left" w:pos="3422"/>
          <w:tab w:val="center" w:pos="4775"/>
        </w:tabs>
        <w:spacing w:before="240" w:after="240" w:line="6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ab/>
        <w:t xml:space="preserve">第五章  </w:t>
      </w:r>
      <w:r>
        <w:rPr>
          <w:rFonts w:ascii="宋体" w:hAnsi="宋体" w:cs="宋体" w:hint="eastAsia"/>
          <w:b/>
          <w:bCs/>
          <w:sz w:val="32"/>
          <w:szCs w:val="32"/>
        </w:rPr>
        <w:tab/>
        <w:t>监督管理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中国</w:t>
      </w:r>
      <w:proofErr w:type="gramStart"/>
      <w:r>
        <w:rPr>
          <w:rFonts w:ascii="仿宋_GB2312" w:eastAsia="仿宋_GB2312" w:hint="eastAsia"/>
          <w:sz w:val="32"/>
          <w:szCs w:val="32"/>
        </w:rPr>
        <w:t>象协有</w:t>
      </w:r>
      <w:proofErr w:type="gramEnd"/>
      <w:r>
        <w:rPr>
          <w:rFonts w:ascii="仿宋_GB2312" w:eastAsia="仿宋_GB2312" w:hint="eastAsia"/>
          <w:sz w:val="32"/>
          <w:szCs w:val="32"/>
        </w:rPr>
        <w:t>对“特色学校（幼儿园）、俱乐部会员”开展象棋活动进行监督和检查的职责。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“特色学校（幼儿园）、俱乐部会员”按照入会标准的具体内容每两年报送一次工作情况报告。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中国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协对开展象棋普及推广工作富有成效的优秀“特色学校（幼儿园）、俱乐部会员”，将以一定形式予以表彰。对开展工作不力、没有成效的“特色学校（幼儿园）、俱乐部会员”，将责令其限期整改；限期整改不合格的或者给本项目造成负面影响和损失的，将取消其“特色学校（幼儿园）、俱乐部会员”资格并向社会公布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继续申请下一周期“特色学校（幼儿园）、俱乐部会员”的单位，可在本期截止前六个月内再次提出申请，申请程序如上。</w:t>
      </w:r>
    </w:p>
    <w:p w:rsidR="00E26024" w:rsidRDefault="00E26024" w:rsidP="00E2602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6024" w:rsidRDefault="00E26024" w:rsidP="00E26024">
      <w:pPr>
        <w:spacing w:before="240" w:after="240" w:line="6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第六章 附  则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本办法由中国象棋协会负责解释。</w:t>
      </w:r>
    </w:p>
    <w:p w:rsidR="00E26024" w:rsidRDefault="00E26024" w:rsidP="00E26024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本办法自2019年4月1日起执行，原2016年1月11日发布的《全国象棋特色学校管理办法》、《全国象棋基地管理办法》同时废止。</w:t>
      </w:r>
    </w:p>
    <w:p w:rsidR="00E26024" w:rsidRDefault="00E26024" w:rsidP="00E26024">
      <w:pPr>
        <w:spacing w:line="360" w:lineRule="auto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28"/>
        </w:rPr>
        <w:lastRenderedPageBreak/>
        <w:t>附件：</w:t>
      </w:r>
    </w:p>
    <w:p w:rsidR="00E26024" w:rsidRDefault="00E26024" w:rsidP="00E26024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全国象棋特色学校（幼儿园）、俱乐部会员申请表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64"/>
        <w:gridCol w:w="1713"/>
        <w:gridCol w:w="2132"/>
      </w:tblGrid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E26024" w:rsidTr="00E26024">
        <w:trPr>
          <w:trHeight w:val="233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申请说明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E26024" w:rsidRDefault="00E26024">
            <w:pPr>
              <w:snapToGrid w:val="0"/>
              <w:spacing w:line="360" w:lineRule="auto"/>
              <w:ind w:firstLineChars="1395" w:firstLine="3921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E26024" w:rsidRDefault="00E26024">
            <w:pPr>
              <w:snapToGrid w:val="0"/>
              <w:spacing w:line="360" w:lineRule="auto"/>
              <w:ind w:firstLineChars="1345" w:firstLine="378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  月  日</w:t>
            </w:r>
          </w:p>
        </w:tc>
      </w:tr>
      <w:tr w:rsidR="00E26024" w:rsidTr="00E26024">
        <w:trPr>
          <w:trHeight w:val="102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当地业务主管部门意见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024" w:rsidRDefault="00E26024">
            <w:pPr>
              <w:snapToGrid w:val="0"/>
              <w:spacing w:line="360" w:lineRule="auto"/>
              <w:ind w:firstLineChars="1395" w:firstLine="392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E26024" w:rsidRDefault="00E26024">
            <w:pPr>
              <w:snapToGrid w:val="0"/>
              <w:spacing w:line="360" w:lineRule="auto"/>
              <w:ind w:firstLineChars="1345" w:firstLine="3781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  月  日</w:t>
            </w:r>
          </w:p>
        </w:tc>
      </w:tr>
      <w:tr w:rsidR="00E26024" w:rsidTr="00E2602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省级协会会员</w:t>
            </w: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                      （章）</w:t>
            </w:r>
          </w:p>
          <w:p w:rsidR="00E26024" w:rsidRDefault="00E26024">
            <w:pPr>
              <w:snapToGrid w:val="0"/>
              <w:spacing w:line="360" w:lineRule="auto"/>
              <w:ind w:firstLineChars="1295" w:firstLine="364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  月  日</w:t>
            </w:r>
          </w:p>
        </w:tc>
      </w:tr>
      <w:tr w:rsidR="00E26024" w:rsidTr="00E26024">
        <w:trPr>
          <w:trHeight w:hRule="exact" w:val="198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审  批</w:t>
            </w: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  位</w:t>
            </w: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意  见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 w:rsidR="00E26024" w:rsidRDefault="00E26024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  <w:p w:rsidR="00E26024" w:rsidRDefault="00E26024">
            <w:pPr>
              <w:snapToGrid w:val="0"/>
              <w:spacing w:line="360" w:lineRule="auto"/>
              <w:ind w:firstLineChars="1396" w:firstLine="3924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（章）</w:t>
            </w:r>
          </w:p>
          <w:p w:rsidR="00E26024" w:rsidRDefault="00E26024">
            <w:pPr>
              <w:snapToGrid w:val="0"/>
              <w:spacing w:line="360" w:lineRule="auto"/>
              <w:ind w:firstLineChars="1295" w:firstLine="364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:rsidR="0098701B" w:rsidRDefault="00DA77F8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F8" w:rsidRDefault="00DA77F8" w:rsidP="00E26024">
      <w:r>
        <w:separator/>
      </w:r>
    </w:p>
  </w:endnote>
  <w:endnote w:type="continuationSeparator" w:id="0">
    <w:p w:rsidR="00DA77F8" w:rsidRDefault="00DA77F8" w:rsidP="00E2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F8" w:rsidRDefault="00DA77F8" w:rsidP="00E26024">
      <w:r>
        <w:separator/>
      </w:r>
    </w:p>
  </w:footnote>
  <w:footnote w:type="continuationSeparator" w:id="0">
    <w:p w:rsidR="00DA77F8" w:rsidRDefault="00DA77F8" w:rsidP="00E2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01B18"/>
    <w:multiLevelType w:val="singleLevel"/>
    <w:tmpl w:val="9DC01B18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1">
    <w:nsid w:val="B87C47C2"/>
    <w:multiLevelType w:val="singleLevel"/>
    <w:tmpl w:val="B87C47C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2">
    <w:nsid w:val="DC122738"/>
    <w:multiLevelType w:val="singleLevel"/>
    <w:tmpl w:val="DC122738"/>
    <w:lvl w:ilvl="0">
      <w:start w:val="1"/>
      <w:numFmt w:val="chineseCounting"/>
      <w:suff w:val="nothing"/>
      <w:lvlText w:val="第%1条"/>
      <w:lvlJc w:val="left"/>
      <w:pPr>
        <w:ind w:left="0" w:firstLine="420"/>
      </w:pPr>
      <w:rPr>
        <w:rFonts w:ascii="Times New Roman" w:eastAsia="黑体" w:hAnsi="Times New Roman" w:hint="eastAsia"/>
      </w:rPr>
    </w:lvl>
  </w:abstractNum>
  <w:abstractNum w:abstractNumId="3">
    <w:nsid w:val="FC9750A2"/>
    <w:multiLevelType w:val="singleLevel"/>
    <w:tmpl w:val="FC9750A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FD"/>
    <w:rsid w:val="000003FD"/>
    <w:rsid w:val="006C21D9"/>
    <w:rsid w:val="00DA77F8"/>
    <w:rsid w:val="00E26024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0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2019-03-22T09:38:00Z</dcterms:created>
  <dcterms:modified xsi:type="dcterms:W3CDTF">2019-03-22T09:38:00Z</dcterms:modified>
</cp:coreProperties>
</file>