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83C" w:rsidRDefault="00A4283C">
      <w:pPr>
        <w:jc w:val="center"/>
        <w:rPr>
          <w:rFonts w:ascii="宋体"/>
          <w:b/>
          <w:sz w:val="32"/>
          <w:szCs w:val="32"/>
        </w:rPr>
      </w:pPr>
      <w:r>
        <w:rPr>
          <w:rFonts w:ascii="宋体" w:hAnsi="宋体" w:hint="eastAsia"/>
          <w:b/>
          <w:sz w:val="32"/>
          <w:szCs w:val="32"/>
        </w:rPr>
        <w:t>竞技二打一扑克技术等级条例实施细则（试行）</w:t>
      </w:r>
    </w:p>
    <w:p w:rsidR="00A4283C" w:rsidRDefault="00A4283C">
      <w:pPr>
        <w:pStyle w:val="Heading1"/>
        <w:rPr>
          <w:rFonts w:ascii="仿宋" w:eastAsia="仿宋" w:hAnsi="仿宋"/>
          <w:sz w:val="28"/>
          <w:szCs w:val="28"/>
        </w:rPr>
      </w:pPr>
      <w:r>
        <w:rPr>
          <w:rFonts w:ascii="仿宋" w:eastAsia="仿宋" w:hAnsi="仿宋" w:hint="eastAsia"/>
          <w:sz w:val="28"/>
          <w:szCs w:val="28"/>
        </w:rPr>
        <w:t>第一节</w:t>
      </w:r>
      <w:r>
        <w:rPr>
          <w:rFonts w:ascii="仿宋" w:eastAsia="仿宋" w:hAnsi="仿宋"/>
          <w:sz w:val="28"/>
          <w:szCs w:val="28"/>
        </w:rPr>
        <w:t xml:space="preserve"> </w:t>
      </w:r>
      <w:r>
        <w:rPr>
          <w:rFonts w:ascii="仿宋" w:eastAsia="仿宋" w:hAnsi="仿宋" w:hint="eastAsia"/>
          <w:sz w:val="28"/>
          <w:szCs w:val="28"/>
        </w:rPr>
        <w:t>总则</w:t>
      </w:r>
    </w:p>
    <w:p w:rsidR="00A4283C" w:rsidRDefault="00A4283C" w:rsidP="00FF5654">
      <w:pPr>
        <w:spacing w:line="360" w:lineRule="auto"/>
        <w:ind w:firstLineChars="100" w:firstLine="31680"/>
        <w:rPr>
          <w:rFonts w:ascii="仿宋" w:eastAsia="仿宋" w:hAnsi="仿宋"/>
          <w:sz w:val="28"/>
          <w:szCs w:val="28"/>
        </w:rPr>
      </w:pPr>
      <w:r>
        <w:rPr>
          <w:rFonts w:ascii="仿宋" w:eastAsia="仿宋" w:hAnsi="仿宋" w:hint="eastAsia"/>
          <w:b/>
          <w:sz w:val="28"/>
          <w:szCs w:val="28"/>
        </w:rPr>
        <w:t>第一条</w:t>
      </w:r>
      <w:r>
        <w:rPr>
          <w:rFonts w:ascii="仿宋" w:eastAsia="仿宋" w:hAnsi="仿宋"/>
          <w:b/>
          <w:sz w:val="28"/>
          <w:szCs w:val="28"/>
        </w:rPr>
        <w:t xml:space="preserve"> </w:t>
      </w:r>
      <w:r>
        <w:rPr>
          <w:rFonts w:ascii="仿宋" w:eastAsia="仿宋" w:hAnsi="仿宋" w:hint="eastAsia"/>
          <w:sz w:val="28"/>
          <w:szCs w:val="28"/>
        </w:rPr>
        <w:t>为实施《竞技二打一扑克技术等级条例》（简称等级条例），特制定本实施细则。</w:t>
      </w:r>
    </w:p>
    <w:p w:rsidR="00A4283C" w:rsidRDefault="00A4283C" w:rsidP="00FF5654">
      <w:pPr>
        <w:spacing w:line="360" w:lineRule="auto"/>
        <w:ind w:firstLineChars="100" w:firstLine="31680"/>
        <w:rPr>
          <w:rFonts w:ascii="仿宋" w:eastAsia="仿宋" w:hAnsi="仿宋"/>
          <w:sz w:val="28"/>
          <w:szCs w:val="28"/>
        </w:rPr>
      </w:pPr>
      <w:r>
        <w:rPr>
          <w:rFonts w:ascii="仿宋" w:eastAsia="仿宋" w:hAnsi="仿宋" w:hint="eastAsia"/>
          <w:b/>
          <w:sz w:val="28"/>
          <w:szCs w:val="28"/>
        </w:rPr>
        <w:t>第二条</w:t>
      </w:r>
      <w:r>
        <w:rPr>
          <w:rFonts w:ascii="仿宋" w:eastAsia="仿宋" w:hAnsi="仿宋"/>
          <w:b/>
          <w:sz w:val="28"/>
          <w:szCs w:val="28"/>
        </w:rPr>
        <w:t xml:space="preserve"> </w:t>
      </w:r>
      <w:r>
        <w:rPr>
          <w:rFonts w:ascii="仿宋" w:eastAsia="仿宋" w:hAnsi="仿宋" w:hint="eastAsia"/>
          <w:sz w:val="28"/>
          <w:szCs w:val="28"/>
        </w:rPr>
        <w:t>注册单位须通过中国智力运动网竞技趣味棋牌服务管理平台（以下简称竞技管理平台）注册符合《竞技二打一扑克竞赛规则》的比赛</w:t>
      </w:r>
      <w:r>
        <w:rPr>
          <w:rFonts w:ascii="仿宋" w:eastAsia="仿宋" w:hAnsi="仿宋"/>
          <w:sz w:val="28"/>
          <w:szCs w:val="28"/>
        </w:rPr>
        <w:t xml:space="preserve">, </w:t>
      </w:r>
      <w:r>
        <w:rPr>
          <w:rFonts w:ascii="仿宋" w:eastAsia="仿宋" w:hAnsi="仿宋" w:hint="eastAsia"/>
          <w:sz w:val="28"/>
          <w:szCs w:val="28"/>
        </w:rPr>
        <w:t>方可按照本实施细则计算大师分。</w:t>
      </w:r>
    </w:p>
    <w:p w:rsidR="00A4283C" w:rsidRDefault="00A4283C">
      <w:pPr>
        <w:pStyle w:val="Heading1"/>
        <w:rPr>
          <w:rFonts w:ascii="仿宋" w:eastAsia="仿宋" w:hAnsi="仿宋"/>
          <w:sz w:val="28"/>
          <w:szCs w:val="28"/>
        </w:rPr>
      </w:pPr>
      <w:r>
        <w:rPr>
          <w:rFonts w:ascii="仿宋" w:eastAsia="仿宋" w:hAnsi="仿宋" w:hint="eastAsia"/>
          <w:sz w:val="28"/>
          <w:szCs w:val="28"/>
        </w:rPr>
        <w:t>第二节</w:t>
      </w:r>
      <w:r>
        <w:rPr>
          <w:rFonts w:ascii="仿宋" w:eastAsia="仿宋" w:hAnsi="仿宋"/>
          <w:sz w:val="28"/>
          <w:szCs w:val="28"/>
        </w:rPr>
        <w:t xml:space="preserve"> </w:t>
      </w:r>
      <w:r>
        <w:rPr>
          <w:rFonts w:ascii="仿宋" w:eastAsia="仿宋" w:hAnsi="仿宋" w:hint="eastAsia"/>
          <w:sz w:val="28"/>
          <w:szCs w:val="28"/>
        </w:rPr>
        <w:t>赛事等级与大师分</w:t>
      </w:r>
    </w:p>
    <w:p w:rsidR="00A4283C" w:rsidRDefault="00A4283C" w:rsidP="00FF5654">
      <w:pPr>
        <w:spacing w:line="360" w:lineRule="auto"/>
        <w:ind w:firstLineChars="100" w:firstLine="31680"/>
        <w:rPr>
          <w:rFonts w:ascii="仿宋" w:eastAsia="仿宋" w:hAnsi="仿宋" w:cs="宋体"/>
          <w:kern w:val="0"/>
          <w:sz w:val="28"/>
          <w:szCs w:val="28"/>
        </w:rPr>
      </w:pPr>
      <w:r>
        <w:rPr>
          <w:rFonts w:ascii="仿宋" w:eastAsia="仿宋" w:hAnsi="仿宋" w:cs="宋体" w:hint="eastAsia"/>
          <w:b/>
          <w:kern w:val="0"/>
          <w:sz w:val="28"/>
          <w:szCs w:val="28"/>
        </w:rPr>
        <w:t>第三条</w:t>
      </w:r>
      <w:r>
        <w:rPr>
          <w:rFonts w:ascii="仿宋" w:eastAsia="仿宋" w:hAnsi="仿宋" w:cs="宋体"/>
          <w:kern w:val="0"/>
          <w:sz w:val="28"/>
          <w:szCs w:val="28"/>
        </w:rPr>
        <w:t xml:space="preserve"> </w:t>
      </w:r>
      <w:r>
        <w:rPr>
          <w:rFonts w:ascii="仿宋" w:eastAsia="仿宋" w:hAnsi="仿宋" w:cs="宋体" w:hint="eastAsia"/>
          <w:kern w:val="0"/>
          <w:sz w:val="28"/>
          <w:szCs w:val="28"/>
        </w:rPr>
        <w:t>大师分由高级到低级共包括金分、银分、红分三种。注册比赛</w:t>
      </w:r>
      <w:r>
        <w:rPr>
          <w:rFonts w:ascii="仿宋" w:eastAsia="仿宋" w:hAnsi="仿宋" w:hint="eastAsia"/>
          <w:sz w:val="28"/>
          <w:szCs w:val="28"/>
        </w:rPr>
        <w:t>根据赛事主办方不同、参赛形式不同、赛事轮数不同、参赛牌手技术等级不同划分为五个赛事等级，由高到低分别为全国锦标赛、全国公开赛、</w:t>
      </w:r>
      <w:r>
        <w:rPr>
          <w:rFonts w:ascii="仿宋" w:eastAsia="仿宋" w:hAnsi="仿宋"/>
          <w:sz w:val="28"/>
          <w:szCs w:val="28"/>
        </w:rPr>
        <w:t>A</w:t>
      </w:r>
      <w:r>
        <w:rPr>
          <w:rFonts w:ascii="仿宋" w:eastAsia="仿宋" w:hAnsi="仿宋" w:hint="eastAsia"/>
          <w:sz w:val="28"/>
          <w:szCs w:val="28"/>
        </w:rPr>
        <w:t>级、</w:t>
      </w:r>
      <w:r>
        <w:rPr>
          <w:rFonts w:ascii="仿宋" w:eastAsia="仿宋" w:hAnsi="仿宋"/>
          <w:sz w:val="28"/>
          <w:szCs w:val="28"/>
        </w:rPr>
        <w:t>B</w:t>
      </w:r>
      <w:r>
        <w:rPr>
          <w:rFonts w:ascii="仿宋" w:eastAsia="仿宋" w:hAnsi="仿宋" w:hint="eastAsia"/>
          <w:sz w:val="28"/>
          <w:szCs w:val="28"/>
        </w:rPr>
        <w:t>级、</w:t>
      </w:r>
      <w:r>
        <w:rPr>
          <w:rFonts w:ascii="仿宋" w:eastAsia="仿宋" w:hAnsi="仿宋"/>
          <w:sz w:val="28"/>
          <w:szCs w:val="28"/>
        </w:rPr>
        <w:t>C</w:t>
      </w:r>
      <w:r>
        <w:rPr>
          <w:rFonts w:ascii="仿宋" w:eastAsia="仿宋" w:hAnsi="仿宋" w:hint="eastAsia"/>
          <w:sz w:val="28"/>
          <w:szCs w:val="28"/>
        </w:rPr>
        <w:t>级。注册</w:t>
      </w:r>
      <w:r>
        <w:rPr>
          <w:rFonts w:ascii="仿宋" w:eastAsia="仿宋" w:hAnsi="仿宋" w:cs="宋体" w:hint="eastAsia"/>
          <w:kern w:val="0"/>
          <w:sz w:val="28"/>
          <w:szCs w:val="28"/>
        </w:rPr>
        <w:t>赛事级别越高，获得的大师分种类越多，数量愈多。</w:t>
      </w:r>
    </w:p>
    <w:p w:rsidR="00A4283C" w:rsidRDefault="00A4283C" w:rsidP="00FF5654">
      <w:pPr>
        <w:spacing w:line="360" w:lineRule="auto"/>
        <w:ind w:firstLineChars="100" w:firstLine="31680"/>
        <w:rPr>
          <w:rFonts w:ascii="仿宋" w:eastAsia="仿宋" w:hAnsi="仿宋" w:cs="宋体"/>
          <w:kern w:val="0"/>
          <w:sz w:val="28"/>
          <w:szCs w:val="28"/>
        </w:rPr>
      </w:pPr>
      <w:r>
        <w:rPr>
          <w:rFonts w:ascii="仿宋" w:eastAsia="仿宋" w:hAnsi="仿宋" w:cs="宋体" w:hint="eastAsia"/>
          <w:b/>
          <w:kern w:val="0"/>
          <w:sz w:val="28"/>
          <w:szCs w:val="28"/>
        </w:rPr>
        <w:t>第四条</w:t>
      </w:r>
      <w:r>
        <w:rPr>
          <w:rFonts w:ascii="仿宋" w:eastAsia="仿宋" w:hAnsi="仿宋" w:cs="宋体"/>
          <w:b/>
          <w:kern w:val="0"/>
          <w:sz w:val="28"/>
          <w:szCs w:val="28"/>
        </w:rPr>
        <w:t xml:space="preserve"> </w:t>
      </w:r>
      <w:r>
        <w:rPr>
          <w:rFonts w:ascii="仿宋" w:eastAsia="仿宋" w:hAnsi="仿宋" w:cs="宋体" w:hint="eastAsia"/>
          <w:kern w:val="0"/>
          <w:sz w:val="28"/>
          <w:szCs w:val="28"/>
        </w:rPr>
        <w:t>不同等级的赛事对参赛选手有不同的大师分要求。</w:t>
      </w:r>
    </w:p>
    <w:tbl>
      <w:tblPr>
        <w:tblW w:w="5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7"/>
        <w:gridCol w:w="1038"/>
        <w:gridCol w:w="3118"/>
      </w:tblGrid>
      <w:tr w:rsidR="00A4283C" w:rsidRPr="00B03E95" w:rsidTr="00B03E95">
        <w:trPr>
          <w:trHeight w:val="375"/>
          <w:jc w:val="center"/>
        </w:trPr>
        <w:tc>
          <w:tcPr>
            <w:tcW w:w="2075" w:type="dxa"/>
            <w:gridSpan w:val="2"/>
            <w:vAlign w:val="center"/>
          </w:tcPr>
          <w:p w:rsidR="00A4283C" w:rsidRPr="00B03E95" w:rsidRDefault="00A4283C" w:rsidP="00B03E95">
            <w:pPr>
              <w:spacing w:line="360" w:lineRule="auto"/>
              <w:jc w:val="center"/>
              <w:rPr>
                <w:rFonts w:ascii="仿宋" w:eastAsia="仿宋" w:hAnsi="仿宋"/>
                <w:b/>
                <w:sz w:val="24"/>
                <w:szCs w:val="24"/>
              </w:rPr>
            </w:pPr>
            <w:r w:rsidRPr="00B03E95">
              <w:rPr>
                <w:rFonts w:ascii="仿宋" w:eastAsia="仿宋" w:hAnsi="仿宋" w:hint="eastAsia"/>
                <w:b/>
                <w:sz w:val="24"/>
                <w:szCs w:val="24"/>
              </w:rPr>
              <w:t>赛事等级</w:t>
            </w:r>
          </w:p>
        </w:tc>
        <w:tc>
          <w:tcPr>
            <w:tcW w:w="3118" w:type="dxa"/>
            <w:vAlign w:val="center"/>
          </w:tcPr>
          <w:p w:rsidR="00A4283C" w:rsidRPr="00B03E95" w:rsidRDefault="00A4283C" w:rsidP="00B03E95">
            <w:pPr>
              <w:spacing w:line="360" w:lineRule="auto"/>
              <w:jc w:val="center"/>
              <w:rPr>
                <w:rFonts w:ascii="仿宋" w:eastAsia="仿宋" w:hAnsi="仿宋"/>
                <w:b/>
                <w:sz w:val="24"/>
                <w:szCs w:val="24"/>
              </w:rPr>
            </w:pPr>
            <w:r w:rsidRPr="00B03E95">
              <w:rPr>
                <w:rFonts w:ascii="仿宋" w:eastAsia="仿宋" w:hAnsi="仿宋" w:hint="eastAsia"/>
                <w:b/>
                <w:sz w:val="24"/>
                <w:szCs w:val="24"/>
              </w:rPr>
              <w:t>参赛大师分要求</w:t>
            </w:r>
          </w:p>
        </w:tc>
      </w:tr>
      <w:tr w:rsidR="00A4283C" w:rsidRPr="00B03E95" w:rsidTr="00B03E95">
        <w:trPr>
          <w:trHeight w:val="312"/>
          <w:jc w:val="center"/>
        </w:trPr>
        <w:tc>
          <w:tcPr>
            <w:tcW w:w="2075" w:type="dxa"/>
            <w:gridSpan w:val="2"/>
            <w:vAlign w:val="center"/>
          </w:tcPr>
          <w:p w:rsidR="00A4283C" w:rsidRPr="00B03E95" w:rsidRDefault="00A4283C" w:rsidP="00A4283C">
            <w:pPr>
              <w:spacing w:line="360" w:lineRule="auto"/>
              <w:ind w:firstLineChars="100" w:firstLine="31680"/>
              <w:jc w:val="center"/>
              <w:rPr>
                <w:rFonts w:ascii="仿宋" w:eastAsia="仿宋" w:hAnsi="仿宋"/>
                <w:sz w:val="24"/>
                <w:szCs w:val="24"/>
              </w:rPr>
            </w:pPr>
            <w:r w:rsidRPr="00B03E95">
              <w:rPr>
                <w:rFonts w:ascii="仿宋" w:eastAsia="仿宋" w:hAnsi="仿宋" w:hint="eastAsia"/>
                <w:sz w:val="24"/>
                <w:szCs w:val="24"/>
              </w:rPr>
              <w:t>全国锦标赛</w:t>
            </w:r>
          </w:p>
        </w:tc>
        <w:tc>
          <w:tcPr>
            <w:tcW w:w="3118" w:type="dxa"/>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hint="eastAsia"/>
                <w:kern w:val="0"/>
                <w:sz w:val="24"/>
                <w:szCs w:val="24"/>
              </w:rPr>
              <w:t>根据具体赛事规程进行规定</w:t>
            </w:r>
          </w:p>
        </w:tc>
      </w:tr>
      <w:tr w:rsidR="00A4283C" w:rsidRPr="00B03E95" w:rsidTr="00B03E95">
        <w:trPr>
          <w:jc w:val="center"/>
        </w:trPr>
        <w:tc>
          <w:tcPr>
            <w:tcW w:w="2075" w:type="dxa"/>
            <w:gridSpan w:val="2"/>
            <w:vAlign w:val="center"/>
          </w:tcPr>
          <w:p w:rsidR="00A4283C" w:rsidRPr="00B03E95" w:rsidRDefault="00A4283C" w:rsidP="00A4283C">
            <w:pPr>
              <w:spacing w:line="360" w:lineRule="auto"/>
              <w:ind w:firstLineChars="100" w:firstLine="31680"/>
              <w:jc w:val="center"/>
              <w:rPr>
                <w:rFonts w:ascii="仿宋" w:eastAsia="仿宋" w:hAnsi="仿宋"/>
                <w:sz w:val="24"/>
                <w:szCs w:val="24"/>
              </w:rPr>
            </w:pPr>
            <w:r w:rsidRPr="00B03E95">
              <w:rPr>
                <w:rFonts w:ascii="仿宋" w:eastAsia="仿宋" w:hAnsi="仿宋" w:hint="eastAsia"/>
                <w:sz w:val="24"/>
                <w:szCs w:val="24"/>
              </w:rPr>
              <w:t>全国公开赛</w:t>
            </w:r>
          </w:p>
        </w:tc>
        <w:tc>
          <w:tcPr>
            <w:tcW w:w="3118" w:type="dxa"/>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hint="eastAsia"/>
                <w:kern w:val="0"/>
                <w:sz w:val="24"/>
                <w:szCs w:val="24"/>
              </w:rPr>
              <w:t>根据具体赛事规程进行规定</w:t>
            </w:r>
          </w:p>
        </w:tc>
      </w:tr>
      <w:tr w:rsidR="00A4283C" w:rsidRPr="00B03E95" w:rsidTr="00B03E95">
        <w:trPr>
          <w:jc w:val="center"/>
        </w:trPr>
        <w:tc>
          <w:tcPr>
            <w:tcW w:w="2075" w:type="dxa"/>
            <w:gridSpan w:val="2"/>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A</w:t>
            </w:r>
            <w:r w:rsidRPr="00B03E95">
              <w:rPr>
                <w:rFonts w:ascii="仿宋" w:eastAsia="仿宋" w:hAnsi="仿宋" w:hint="eastAsia"/>
                <w:sz w:val="24"/>
                <w:szCs w:val="24"/>
              </w:rPr>
              <w:t>级</w:t>
            </w:r>
          </w:p>
        </w:tc>
        <w:tc>
          <w:tcPr>
            <w:tcW w:w="3118" w:type="dxa"/>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hint="eastAsia"/>
                <w:sz w:val="24"/>
                <w:szCs w:val="24"/>
              </w:rPr>
              <w:t>不低于</w:t>
            </w:r>
            <w:r w:rsidRPr="00B03E95">
              <w:rPr>
                <w:rFonts w:ascii="仿宋" w:eastAsia="仿宋" w:hAnsi="仿宋"/>
                <w:sz w:val="24"/>
                <w:szCs w:val="24"/>
              </w:rPr>
              <w:t>10</w:t>
            </w:r>
            <w:r w:rsidRPr="00B03E95">
              <w:rPr>
                <w:rFonts w:ascii="仿宋" w:eastAsia="仿宋" w:hAnsi="仿宋" w:hint="eastAsia"/>
                <w:sz w:val="24"/>
                <w:szCs w:val="24"/>
              </w:rPr>
              <w:t>银分</w:t>
            </w:r>
            <w:r w:rsidRPr="00B03E95">
              <w:rPr>
                <w:rFonts w:ascii="仿宋" w:eastAsia="仿宋" w:hAnsi="仿宋"/>
                <w:sz w:val="24"/>
                <w:szCs w:val="24"/>
              </w:rPr>
              <w:t xml:space="preserve"> </w:t>
            </w:r>
          </w:p>
        </w:tc>
      </w:tr>
      <w:tr w:rsidR="00A4283C" w:rsidRPr="00B03E95" w:rsidTr="00B03E95">
        <w:trPr>
          <w:trHeight w:val="229"/>
          <w:jc w:val="center"/>
        </w:trPr>
        <w:tc>
          <w:tcPr>
            <w:tcW w:w="1037" w:type="dxa"/>
            <w:vMerge w:val="restart"/>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B</w:t>
            </w:r>
            <w:r w:rsidRPr="00B03E95">
              <w:rPr>
                <w:rFonts w:ascii="仿宋" w:eastAsia="仿宋" w:hAnsi="仿宋" w:hint="eastAsia"/>
                <w:sz w:val="24"/>
                <w:szCs w:val="24"/>
              </w:rPr>
              <w:t>级</w:t>
            </w:r>
          </w:p>
        </w:tc>
        <w:tc>
          <w:tcPr>
            <w:tcW w:w="1038"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B1</w:t>
            </w:r>
          </w:p>
        </w:tc>
        <w:tc>
          <w:tcPr>
            <w:tcW w:w="3118" w:type="dxa"/>
            <w:vMerge w:val="restart"/>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hint="eastAsia"/>
                <w:sz w:val="24"/>
                <w:szCs w:val="24"/>
              </w:rPr>
              <w:t>不低于</w:t>
            </w:r>
            <w:r w:rsidRPr="00B03E95">
              <w:rPr>
                <w:rFonts w:ascii="仿宋" w:eastAsia="仿宋" w:hAnsi="仿宋"/>
                <w:sz w:val="24"/>
                <w:szCs w:val="24"/>
              </w:rPr>
              <w:t>300</w:t>
            </w:r>
            <w:r w:rsidRPr="00B03E95">
              <w:rPr>
                <w:rFonts w:ascii="仿宋" w:eastAsia="仿宋" w:hAnsi="仿宋" w:hint="eastAsia"/>
                <w:sz w:val="24"/>
                <w:szCs w:val="24"/>
              </w:rPr>
              <w:t>红分</w:t>
            </w:r>
          </w:p>
        </w:tc>
      </w:tr>
      <w:tr w:rsidR="00A4283C" w:rsidRPr="00B03E95" w:rsidTr="00B03E95">
        <w:trPr>
          <w:trHeight w:val="229"/>
          <w:jc w:val="center"/>
        </w:trPr>
        <w:tc>
          <w:tcPr>
            <w:tcW w:w="1037" w:type="dxa"/>
            <w:vMerge/>
            <w:vAlign w:val="center"/>
          </w:tcPr>
          <w:p w:rsidR="00A4283C" w:rsidRPr="00B03E95" w:rsidRDefault="00A4283C" w:rsidP="00B03E95">
            <w:pPr>
              <w:spacing w:line="360" w:lineRule="auto"/>
              <w:jc w:val="center"/>
            </w:pPr>
          </w:p>
        </w:tc>
        <w:tc>
          <w:tcPr>
            <w:tcW w:w="1038"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B2</w:t>
            </w:r>
          </w:p>
        </w:tc>
        <w:tc>
          <w:tcPr>
            <w:tcW w:w="3118" w:type="dxa"/>
            <w:vMerge/>
          </w:tcPr>
          <w:p w:rsidR="00A4283C" w:rsidRPr="00B03E95" w:rsidRDefault="00A4283C" w:rsidP="00B03E95">
            <w:pPr>
              <w:spacing w:line="360" w:lineRule="auto"/>
              <w:jc w:val="center"/>
              <w:rPr>
                <w:rFonts w:ascii="仿宋" w:eastAsia="仿宋" w:hAnsi="仿宋"/>
                <w:sz w:val="24"/>
                <w:szCs w:val="24"/>
              </w:rPr>
            </w:pPr>
          </w:p>
        </w:tc>
      </w:tr>
      <w:tr w:rsidR="00A4283C" w:rsidRPr="00B03E95" w:rsidTr="00B03E95">
        <w:trPr>
          <w:trHeight w:val="229"/>
          <w:jc w:val="center"/>
        </w:trPr>
        <w:tc>
          <w:tcPr>
            <w:tcW w:w="1037" w:type="dxa"/>
            <w:vMerge w:val="restart"/>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C</w:t>
            </w:r>
            <w:r w:rsidRPr="00B03E95">
              <w:rPr>
                <w:rFonts w:ascii="仿宋" w:eastAsia="仿宋" w:hAnsi="仿宋" w:hint="eastAsia"/>
                <w:sz w:val="24"/>
                <w:szCs w:val="24"/>
              </w:rPr>
              <w:t>级</w:t>
            </w:r>
          </w:p>
        </w:tc>
        <w:tc>
          <w:tcPr>
            <w:tcW w:w="1038"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C1</w:t>
            </w:r>
          </w:p>
        </w:tc>
        <w:tc>
          <w:tcPr>
            <w:tcW w:w="3118" w:type="dxa"/>
            <w:vMerge w:val="restart"/>
            <w:vAlign w:val="center"/>
          </w:tcPr>
          <w:p w:rsidR="00A4283C" w:rsidRPr="00B03E95" w:rsidRDefault="00A4283C"/>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hint="eastAsia"/>
                <w:sz w:val="24"/>
                <w:szCs w:val="24"/>
              </w:rPr>
              <w:t>无</w:t>
            </w:r>
          </w:p>
        </w:tc>
      </w:tr>
      <w:tr w:rsidR="00A4283C" w:rsidRPr="00B03E95" w:rsidTr="00B03E95">
        <w:trPr>
          <w:trHeight w:val="229"/>
          <w:jc w:val="center"/>
        </w:trPr>
        <w:tc>
          <w:tcPr>
            <w:tcW w:w="1037" w:type="dxa"/>
            <w:vMerge/>
            <w:vAlign w:val="center"/>
          </w:tcPr>
          <w:p w:rsidR="00A4283C" w:rsidRPr="00B03E95" w:rsidRDefault="00A4283C" w:rsidP="00B03E95">
            <w:pPr>
              <w:spacing w:line="360" w:lineRule="auto"/>
              <w:jc w:val="center"/>
            </w:pPr>
          </w:p>
        </w:tc>
        <w:tc>
          <w:tcPr>
            <w:tcW w:w="1038"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C2</w:t>
            </w:r>
          </w:p>
        </w:tc>
        <w:tc>
          <w:tcPr>
            <w:tcW w:w="3118" w:type="dxa"/>
            <w:vMerge/>
          </w:tcPr>
          <w:p w:rsidR="00A4283C" w:rsidRPr="00B03E95" w:rsidRDefault="00A4283C" w:rsidP="00B03E95">
            <w:pPr>
              <w:spacing w:line="360" w:lineRule="auto"/>
              <w:jc w:val="center"/>
              <w:rPr>
                <w:rFonts w:ascii="仿宋" w:eastAsia="仿宋" w:hAnsi="仿宋"/>
                <w:sz w:val="24"/>
                <w:szCs w:val="24"/>
              </w:rPr>
            </w:pPr>
          </w:p>
        </w:tc>
      </w:tr>
      <w:tr w:rsidR="00A4283C" w:rsidRPr="00B03E95" w:rsidTr="00B03E95">
        <w:trPr>
          <w:trHeight w:val="229"/>
          <w:jc w:val="center"/>
        </w:trPr>
        <w:tc>
          <w:tcPr>
            <w:tcW w:w="1037" w:type="dxa"/>
            <w:vMerge/>
            <w:vAlign w:val="center"/>
          </w:tcPr>
          <w:p w:rsidR="00A4283C" w:rsidRPr="00B03E95" w:rsidRDefault="00A4283C" w:rsidP="00B03E95">
            <w:pPr>
              <w:spacing w:line="360" w:lineRule="auto"/>
              <w:jc w:val="center"/>
            </w:pPr>
          </w:p>
        </w:tc>
        <w:tc>
          <w:tcPr>
            <w:tcW w:w="1038"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C3</w:t>
            </w:r>
          </w:p>
        </w:tc>
        <w:tc>
          <w:tcPr>
            <w:tcW w:w="3118" w:type="dxa"/>
            <w:vMerge/>
          </w:tcPr>
          <w:p w:rsidR="00A4283C" w:rsidRPr="00B03E95" w:rsidRDefault="00A4283C" w:rsidP="00B03E95">
            <w:pPr>
              <w:spacing w:line="360" w:lineRule="auto"/>
              <w:jc w:val="center"/>
              <w:rPr>
                <w:rFonts w:ascii="仿宋" w:eastAsia="仿宋" w:hAnsi="仿宋"/>
                <w:sz w:val="24"/>
                <w:szCs w:val="24"/>
              </w:rPr>
            </w:pPr>
          </w:p>
        </w:tc>
      </w:tr>
      <w:tr w:rsidR="00A4283C" w:rsidRPr="00B03E95" w:rsidTr="00B03E95">
        <w:trPr>
          <w:trHeight w:val="229"/>
          <w:jc w:val="center"/>
        </w:trPr>
        <w:tc>
          <w:tcPr>
            <w:tcW w:w="1037" w:type="dxa"/>
            <w:vMerge/>
            <w:vAlign w:val="center"/>
          </w:tcPr>
          <w:p w:rsidR="00A4283C" w:rsidRPr="00B03E95" w:rsidRDefault="00A4283C" w:rsidP="00B03E95">
            <w:pPr>
              <w:spacing w:line="360" w:lineRule="auto"/>
              <w:jc w:val="center"/>
            </w:pPr>
          </w:p>
        </w:tc>
        <w:tc>
          <w:tcPr>
            <w:tcW w:w="1038"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C4</w:t>
            </w:r>
          </w:p>
        </w:tc>
        <w:tc>
          <w:tcPr>
            <w:tcW w:w="3118" w:type="dxa"/>
            <w:vMerge/>
          </w:tcPr>
          <w:p w:rsidR="00A4283C" w:rsidRPr="00B03E95" w:rsidRDefault="00A4283C" w:rsidP="00B03E95">
            <w:pPr>
              <w:spacing w:line="360" w:lineRule="auto"/>
              <w:jc w:val="center"/>
              <w:rPr>
                <w:rFonts w:ascii="仿宋" w:eastAsia="仿宋" w:hAnsi="仿宋"/>
                <w:sz w:val="24"/>
                <w:szCs w:val="24"/>
              </w:rPr>
            </w:pPr>
          </w:p>
        </w:tc>
      </w:tr>
      <w:tr w:rsidR="00A4283C" w:rsidRPr="00B03E95" w:rsidTr="00B03E95">
        <w:trPr>
          <w:trHeight w:val="229"/>
          <w:jc w:val="center"/>
        </w:trPr>
        <w:tc>
          <w:tcPr>
            <w:tcW w:w="1037" w:type="dxa"/>
            <w:vMerge/>
            <w:vAlign w:val="center"/>
          </w:tcPr>
          <w:p w:rsidR="00A4283C" w:rsidRPr="00B03E95" w:rsidRDefault="00A4283C" w:rsidP="00B03E95">
            <w:pPr>
              <w:spacing w:line="360" w:lineRule="auto"/>
              <w:jc w:val="center"/>
            </w:pPr>
          </w:p>
        </w:tc>
        <w:tc>
          <w:tcPr>
            <w:tcW w:w="1038"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C5</w:t>
            </w:r>
          </w:p>
        </w:tc>
        <w:tc>
          <w:tcPr>
            <w:tcW w:w="3118" w:type="dxa"/>
            <w:vMerge/>
          </w:tcPr>
          <w:p w:rsidR="00A4283C" w:rsidRPr="00B03E95" w:rsidRDefault="00A4283C" w:rsidP="00B03E95">
            <w:pPr>
              <w:spacing w:line="360" w:lineRule="auto"/>
              <w:jc w:val="center"/>
              <w:rPr>
                <w:rFonts w:ascii="仿宋" w:eastAsia="仿宋" w:hAnsi="仿宋"/>
                <w:sz w:val="24"/>
                <w:szCs w:val="24"/>
              </w:rPr>
            </w:pPr>
          </w:p>
        </w:tc>
      </w:tr>
    </w:tbl>
    <w:p w:rsidR="00A4283C" w:rsidRDefault="00A4283C">
      <w:pPr>
        <w:pStyle w:val="Heading1"/>
        <w:rPr>
          <w:rFonts w:ascii="仿宋" w:eastAsia="仿宋" w:hAnsi="仿宋"/>
          <w:sz w:val="28"/>
          <w:szCs w:val="28"/>
        </w:rPr>
      </w:pPr>
      <w:r>
        <w:rPr>
          <w:rFonts w:ascii="仿宋" w:eastAsia="仿宋" w:hAnsi="仿宋" w:hint="eastAsia"/>
          <w:sz w:val="28"/>
          <w:szCs w:val="28"/>
        </w:rPr>
        <w:t>第三节</w:t>
      </w:r>
      <w:r>
        <w:rPr>
          <w:rFonts w:ascii="仿宋" w:eastAsia="仿宋" w:hAnsi="仿宋"/>
          <w:sz w:val="28"/>
          <w:szCs w:val="28"/>
        </w:rPr>
        <w:t xml:space="preserve"> </w:t>
      </w:r>
      <w:r>
        <w:rPr>
          <w:rFonts w:ascii="仿宋" w:eastAsia="仿宋" w:hAnsi="仿宋" w:hint="eastAsia"/>
          <w:sz w:val="28"/>
          <w:szCs w:val="28"/>
        </w:rPr>
        <w:t>大师分授予标准及明细</w:t>
      </w:r>
    </w:p>
    <w:p w:rsidR="00A4283C" w:rsidRDefault="00A4283C" w:rsidP="00FF5654">
      <w:pPr>
        <w:spacing w:line="360" w:lineRule="auto"/>
        <w:ind w:firstLineChars="100" w:firstLine="31680"/>
        <w:rPr>
          <w:rFonts w:ascii="仿宋" w:eastAsia="仿宋" w:hAnsi="仿宋" w:cs="宋体"/>
          <w:kern w:val="0"/>
          <w:sz w:val="28"/>
          <w:szCs w:val="28"/>
        </w:rPr>
      </w:pPr>
      <w:r>
        <w:rPr>
          <w:rFonts w:ascii="仿宋" w:eastAsia="仿宋" w:hAnsi="仿宋" w:hint="eastAsia"/>
          <w:b/>
          <w:sz w:val="28"/>
          <w:szCs w:val="28"/>
        </w:rPr>
        <w:t>第五条</w:t>
      </w:r>
      <w:r>
        <w:rPr>
          <w:rFonts w:ascii="仿宋" w:eastAsia="仿宋" w:hAnsi="仿宋"/>
          <w:sz w:val="28"/>
          <w:szCs w:val="28"/>
        </w:rPr>
        <w:t xml:space="preserve"> </w:t>
      </w:r>
      <w:r>
        <w:rPr>
          <w:rFonts w:ascii="仿宋" w:eastAsia="仿宋" w:hAnsi="仿宋" w:hint="eastAsia"/>
          <w:sz w:val="28"/>
          <w:szCs w:val="28"/>
        </w:rPr>
        <w:t>授予</w:t>
      </w:r>
      <w:r>
        <w:rPr>
          <w:rFonts w:ascii="仿宋" w:eastAsia="仿宋" w:hAnsi="仿宋" w:cs="宋体" w:hint="eastAsia"/>
          <w:kern w:val="0"/>
          <w:sz w:val="28"/>
          <w:szCs w:val="28"/>
        </w:rPr>
        <w:t>注册牌手大师分的方式采用参赛基础奖励加上比赛名次奖励的方式。</w:t>
      </w:r>
      <w:r>
        <w:rPr>
          <w:rFonts w:ascii="仿宋" w:eastAsia="仿宋" w:hAnsi="仿宋" w:cs="宋体"/>
          <w:kern w:val="0"/>
          <w:sz w:val="28"/>
          <w:szCs w:val="28"/>
        </w:rPr>
        <w:t xml:space="preserve"> </w:t>
      </w:r>
    </w:p>
    <w:p w:rsidR="00A4283C" w:rsidRDefault="00A4283C" w:rsidP="00FF5654">
      <w:pPr>
        <w:spacing w:line="360" w:lineRule="auto"/>
        <w:ind w:firstLineChars="100" w:firstLine="31680"/>
        <w:rPr>
          <w:rFonts w:ascii="仿宋" w:eastAsia="仿宋" w:hAnsi="仿宋" w:cs="宋体"/>
          <w:kern w:val="0"/>
          <w:sz w:val="28"/>
          <w:szCs w:val="28"/>
        </w:rPr>
      </w:pPr>
      <w:r>
        <w:rPr>
          <w:rFonts w:ascii="仿宋" w:eastAsia="仿宋" w:hAnsi="仿宋" w:cs="宋体" w:hint="eastAsia"/>
          <w:b/>
          <w:kern w:val="0"/>
          <w:sz w:val="28"/>
          <w:szCs w:val="28"/>
        </w:rPr>
        <w:t>第六条</w:t>
      </w:r>
      <w:r>
        <w:rPr>
          <w:rFonts w:ascii="仿宋" w:eastAsia="仿宋" w:hAnsi="仿宋" w:cs="宋体"/>
          <w:kern w:val="0"/>
          <w:sz w:val="28"/>
          <w:szCs w:val="28"/>
        </w:rPr>
        <w:t xml:space="preserve"> </w:t>
      </w:r>
      <w:r>
        <w:rPr>
          <w:rFonts w:ascii="仿宋" w:eastAsia="仿宋" w:hAnsi="仿宋" w:cs="宋体" w:hint="eastAsia"/>
          <w:kern w:val="0"/>
          <w:sz w:val="28"/>
          <w:szCs w:val="28"/>
        </w:rPr>
        <w:t>参赛基础奖励仅奖励红分，包括参赛即获得奖励和所打牌副数奖励。奖励的红分与注册牌手所参加注册比赛的赛事等级有关，赛事等级越高，奖励的红分越多。</w:t>
      </w:r>
    </w:p>
    <w:tbl>
      <w:tblPr>
        <w:tblW w:w="6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1"/>
        <w:gridCol w:w="1052"/>
        <w:gridCol w:w="1974"/>
        <w:gridCol w:w="2764"/>
      </w:tblGrid>
      <w:tr w:rsidR="00A4283C" w:rsidRPr="00B03E95" w:rsidTr="00B03E95">
        <w:trPr>
          <w:trHeight w:val="308"/>
          <w:jc w:val="center"/>
        </w:trPr>
        <w:tc>
          <w:tcPr>
            <w:tcW w:w="2103" w:type="dxa"/>
            <w:gridSpan w:val="2"/>
            <w:vMerge w:val="restart"/>
            <w:vAlign w:val="center"/>
          </w:tcPr>
          <w:p w:rsidR="00A4283C" w:rsidRPr="00B03E95" w:rsidRDefault="00A4283C" w:rsidP="00B03E95">
            <w:pPr>
              <w:spacing w:line="360" w:lineRule="auto"/>
              <w:jc w:val="center"/>
              <w:rPr>
                <w:rFonts w:ascii="仿宋" w:eastAsia="仿宋" w:hAnsi="仿宋"/>
                <w:b/>
                <w:sz w:val="24"/>
                <w:szCs w:val="24"/>
              </w:rPr>
            </w:pPr>
            <w:bookmarkStart w:id="0" w:name="_GoBack"/>
            <w:bookmarkEnd w:id="0"/>
            <w:r w:rsidRPr="00B03E95">
              <w:rPr>
                <w:rFonts w:ascii="仿宋" w:eastAsia="仿宋" w:hAnsi="仿宋" w:hint="eastAsia"/>
                <w:b/>
                <w:sz w:val="24"/>
                <w:szCs w:val="24"/>
              </w:rPr>
              <w:t>赛事等级</w:t>
            </w:r>
          </w:p>
        </w:tc>
        <w:tc>
          <w:tcPr>
            <w:tcW w:w="4738" w:type="dxa"/>
            <w:gridSpan w:val="2"/>
            <w:vAlign w:val="center"/>
          </w:tcPr>
          <w:p w:rsidR="00A4283C" w:rsidRPr="00B03E95" w:rsidRDefault="00A4283C" w:rsidP="00B03E95">
            <w:pPr>
              <w:spacing w:line="360" w:lineRule="auto"/>
              <w:jc w:val="center"/>
              <w:rPr>
                <w:rFonts w:ascii="仿宋" w:eastAsia="仿宋" w:hAnsi="仿宋"/>
                <w:b/>
                <w:sz w:val="24"/>
                <w:szCs w:val="24"/>
              </w:rPr>
            </w:pPr>
            <w:r w:rsidRPr="00B03E95">
              <w:rPr>
                <w:rFonts w:ascii="仿宋" w:eastAsia="仿宋" w:hAnsi="仿宋" w:hint="eastAsia"/>
                <w:b/>
                <w:sz w:val="24"/>
                <w:szCs w:val="24"/>
              </w:rPr>
              <w:t>基础分（红分）</w:t>
            </w:r>
          </w:p>
        </w:tc>
      </w:tr>
      <w:tr w:rsidR="00A4283C" w:rsidRPr="00B03E95" w:rsidTr="00B03E95">
        <w:trPr>
          <w:trHeight w:val="308"/>
          <w:jc w:val="center"/>
        </w:trPr>
        <w:tc>
          <w:tcPr>
            <w:tcW w:w="2103" w:type="dxa"/>
            <w:gridSpan w:val="2"/>
            <w:vMerge/>
            <w:vAlign w:val="center"/>
          </w:tcPr>
          <w:p w:rsidR="00A4283C" w:rsidRPr="00B03E95" w:rsidRDefault="00A4283C" w:rsidP="00B03E95">
            <w:pPr>
              <w:spacing w:line="360" w:lineRule="auto"/>
              <w:jc w:val="center"/>
              <w:rPr>
                <w:rFonts w:ascii="仿宋" w:eastAsia="仿宋" w:hAnsi="仿宋"/>
                <w:b/>
                <w:sz w:val="24"/>
                <w:szCs w:val="24"/>
              </w:rPr>
            </w:pPr>
          </w:p>
        </w:tc>
        <w:tc>
          <w:tcPr>
            <w:tcW w:w="1974" w:type="dxa"/>
            <w:vAlign w:val="center"/>
          </w:tcPr>
          <w:p w:rsidR="00A4283C" w:rsidRPr="00B03E95" w:rsidRDefault="00A4283C" w:rsidP="00B03E95">
            <w:pPr>
              <w:spacing w:line="360" w:lineRule="auto"/>
              <w:jc w:val="center"/>
              <w:rPr>
                <w:rFonts w:ascii="仿宋" w:eastAsia="仿宋" w:hAnsi="仿宋"/>
                <w:b/>
                <w:sz w:val="24"/>
                <w:szCs w:val="24"/>
              </w:rPr>
            </w:pPr>
            <w:r w:rsidRPr="00B03E95">
              <w:rPr>
                <w:rFonts w:ascii="仿宋" w:eastAsia="仿宋" w:hAnsi="仿宋" w:hint="eastAsia"/>
                <w:b/>
                <w:sz w:val="24"/>
                <w:szCs w:val="24"/>
              </w:rPr>
              <w:t>参赛基础分</w:t>
            </w:r>
            <w:r w:rsidRPr="00B03E95">
              <w:rPr>
                <w:rFonts w:ascii="仿宋" w:eastAsia="仿宋" w:hAnsi="仿宋"/>
                <w:b/>
                <w:sz w:val="24"/>
                <w:szCs w:val="24"/>
              </w:rPr>
              <w:t>(X)</w:t>
            </w:r>
          </w:p>
        </w:tc>
        <w:tc>
          <w:tcPr>
            <w:tcW w:w="2764" w:type="dxa"/>
            <w:vAlign w:val="center"/>
          </w:tcPr>
          <w:p w:rsidR="00A4283C" w:rsidRPr="00B03E95" w:rsidRDefault="00A4283C" w:rsidP="00B03E95">
            <w:pPr>
              <w:spacing w:line="360" w:lineRule="auto"/>
              <w:jc w:val="center"/>
              <w:rPr>
                <w:rFonts w:ascii="仿宋" w:eastAsia="仿宋" w:hAnsi="仿宋"/>
                <w:b/>
                <w:sz w:val="24"/>
                <w:szCs w:val="24"/>
              </w:rPr>
            </w:pPr>
            <w:r w:rsidRPr="00B03E95">
              <w:rPr>
                <w:rFonts w:ascii="仿宋" w:eastAsia="仿宋" w:hAnsi="仿宋" w:hint="eastAsia"/>
                <w:b/>
                <w:sz w:val="24"/>
                <w:szCs w:val="24"/>
              </w:rPr>
              <w:t>每副牌基础分</w:t>
            </w:r>
            <w:r w:rsidRPr="00B03E95">
              <w:rPr>
                <w:rFonts w:ascii="仿宋" w:eastAsia="仿宋" w:hAnsi="仿宋"/>
                <w:b/>
                <w:sz w:val="24"/>
                <w:szCs w:val="24"/>
              </w:rPr>
              <w:t>(Y)</w:t>
            </w:r>
          </w:p>
        </w:tc>
      </w:tr>
      <w:tr w:rsidR="00A4283C" w:rsidRPr="00B03E95" w:rsidTr="00B03E95">
        <w:trPr>
          <w:trHeight w:val="390"/>
          <w:jc w:val="center"/>
        </w:trPr>
        <w:tc>
          <w:tcPr>
            <w:tcW w:w="2103" w:type="dxa"/>
            <w:gridSpan w:val="2"/>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hint="eastAsia"/>
                <w:sz w:val="24"/>
                <w:szCs w:val="24"/>
              </w:rPr>
              <w:t>全国锦标赛</w:t>
            </w:r>
          </w:p>
        </w:tc>
        <w:tc>
          <w:tcPr>
            <w:tcW w:w="1974"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98</w:t>
            </w:r>
          </w:p>
        </w:tc>
        <w:tc>
          <w:tcPr>
            <w:tcW w:w="2764"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0.1</w:t>
            </w:r>
          </w:p>
        </w:tc>
      </w:tr>
      <w:tr w:rsidR="00A4283C" w:rsidRPr="00B03E95" w:rsidTr="00B03E95">
        <w:trPr>
          <w:trHeight w:val="400"/>
          <w:jc w:val="center"/>
        </w:trPr>
        <w:tc>
          <w:tcPr>
            <w:tcW w:w="2103" w:type="dxa"/>
            <w:gridSpan w:val="2"/>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hint="eastAsia"/>
                <w:sz w:val="24"/>
                <w:szCs w:val="24"/>
              </w:rPr>
              <w:t>全国公开赛</w:t>
            </w:r>
          </w:p>
        </w:tc>
        <w:tc>
          <w:tcPr>
            <w:tcW w:w="1974"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98</w:t>
            </w:r>
          </w:p>
        </w:tc>
        <w:tc>
          <w:tcPr>
            <w:tcW w:w="2764"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0.1</w:t>
            </w:r>
          </w:p>
        </w:tc>
      </w:tr>
      <w:tr w:rsidR="00A4283C" w:rsidRPr="00B03E95" w:rsidTr="00B03E95">
        <w:trPr>
          <w:trHeight w:val="90"/>
          <w:jc w:val="center"/>
        </w:trPr>
        <w:tc>
          <w:tcPr>
            <w:tcW w:w="2103" w:type="dxa"/>
            <w:gridSpan w:val="2"/>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A</w:t>
            </w:r>
            <w:r w:rsidRPr="00B03E95">
              <w:rPr>
                <w:rFonts w:ascii="仿宋" w:eastAsia="仿宋" w:hAnsi="仿宋" w:hint="eastAsia"/>
                <w:sz w:val="24"/>
                <w:szCs w:val="24"/>
              </w:rPr>
              <w:t>级</w:t>
            </w:r>
          </w:p>
        </w:tc>
        <w:tc>
          <w:tcPr>
            <w:tcW w:w="1974"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98</w:t>
            </w:r>
          </w:p>
        </w:tc>
        <w:tc>
          <w:tcPr>
            <w:tcW w:w="2764"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0.1</w:t>
            </w:r>
          </w:p>
        </w:tc>
      </w:tr>
      <w:tr w:rsidR="00A4283C" w:rsidRPr="00B03E95" w:rsidTr="00B03E95">
        <w:trPr>
          <w:trHeight w:val="229"/>
          <w:jc w:val="center"/>
        </w:trPr>
        <w:tc>
          <w:tcPr>
            <w:tcW w:w="1051" w:type="dxa"/>
            <w:vMerge w:val="restart"/>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B</w:t>
            </w:r>
            <w:r w:rsidRPr="00B03E95">
              <w:rPr>
                <w:rFonts w:ascii="仿宋" w:eastAsia="仿宋" w:hAnsi="仿宋" w:hint="eastAsia"/>
                <w:sz w:val="24"/>
                <w:szCs w:val="24"/>
              </w:rPr>
              <w:t>级</w:t>
            </w:r>
          </w:p>
        </w:tc>
        <w:tc>
          <w:tcPr>
            <w:tcW w:w="1052"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B1</w:t>
            </w:r>
          </w:p>
        </w:tc>
        <w:tc>
          <w:tcPr>
            <w:tcW w:w="1974"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98</w:t>
            </w:r>
          </w:p>
        </w:tc>
        <w:tc>
          <w:tcPr>
            <w:tcW w:w="2764"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0.1</w:t>
            </w:r>
          </w:p>
        </w:tc>
      </w:tr>
      <w:tr w:rsidR="00A4283C" w:rsidRPr="00B03E95" w:rsidTr="00B03E95">
        <w:trPr>
          <w:trHeight w:val="229"/>
          <w:jc w:val="center"/>
        </w:trPr>
        <w:tc>
          <w:tcPr>
            <w:tcW w:w="1051" w:type="dxa"/>
            <w:vMerge/>
            <w:vAlign w:val="center"/>
          </w:tcPr>
          <w:p w:rsidR="00A4283C" w:rsidRPr="00B03E95" w:rsidRDefault="00A4283C" w:rsidP="00B03E95">
            <w:pPr>
              <w:spacing w:line="360" w:lineRule="auto"/>
              <w:jc w:val="center"/>
            </w:pPr>
          </w:p>
        </w:tc>
        <w:tc>
          <w:tcPr>
            <w:tcW w:w="1052"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B2</w:t>
            </w:r>
          </w:p>
        </w:tc>
        <w:tc>
          <w:tcPr>
            <w:tcW w:w="1974"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48</w:t>
            </w:r>
          </w:p>
        </w:tc>
        <w:tc>
          <w:tcPr>
            <w:tcW w:w="2764"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0.1</w:t>
            </w:r>
          </w:p>
        </w:tc>
      </w:tr>
      <w:tr w:rsidR="00A4283C" w:rsidRPr="00B03E95" w:rsidTr="00B03E95">
        <w:trPr>
          <w:trHeight w:val="234"/>
          <w:jc w:val="center"/>
        </w:trPr>
        <w:tc>
          <w:tcPr>
            <w:tcW w:w="1051" w:type="dxa"/>
            <w:vMerge w:val="restart"/>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C</w:t>
            </w:r>
            <w:r w:rsidRPr="00B03E95">
              <w:rPr>
                <w:rFonts w:ascii="仿宋" w:eastAsia="仿宋" w:hAnsi="仿宋" w:hint="eastAsia"/>
                <w:sz w:val="24"/>
                <w:szCs w:val="24"/>
              </w:rPr>
              <w:t>级</w:t>
            </w:r>
          </w:p>
        </w:tc>
        <w:tc>
          <w:tcPr>
            <w:tcW w:w="1052"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C1</w:t>
            </w:r>
          </w:p>
        </w:tc>
        <w:tc>
          <w:tcPr>
            <w:tcW w:w="1974"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38</w:t>
            </w:r>
          </w:p>
        </w:tc>
        <w:tc>
          <w:tcPr>
            <w:tcW w:w="2764"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0.1</w:t>
            </w:r>
          </w:p>
        </w:tc>
      </w:tr>
      <w:tr w:rsidR="00A4283C" w:rsidRPr="00B03E95" w:rsidTr="00B03E95">
        <w:trPr>
          <w:trHeight w:val="229"/>
          <w:jc w:val="center"/>
        </w:trPr>
        <w:tc>
          <w:tcPr>
            <w:tcW w:w="1051" w:type="dxa"/>
            <w:vMerge/>
            <w:vAlign w:val="center"/>
          </w:tcPr>
          <w:p w:rsidR="00A4283C" w:rsidRPr="00B03E95" w:rsidRDefault="00A4283C" w:rsidP="00B03E95">
            <w:pPr>
              <w:spacing w:line="360" w:lineRule="auto"/>
              <w:jc w:val="center"/>
            </w:pPr>
          </w:p>
        </w:tc>
        <w:tc>
          <w:tcPr>
            <w:tcW w:w="1052"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C2</w:t>
            </w:r>
          </w:p>
        </w:tc>
        <w:tc>
          <w:tcPr>
            <w:tcW w:w="1974"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28</w:t>
            </w:r>
          </w:p>
        </w:tc>
        <w:tc>
          <w:tcPr>
            <w:tcW w:w="2764"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0.1</w:t>
            </w:r>
          </w:p>
        </w:tc>
      </w:tr>
      <w:tr w:rsidR="00A4283C" w:rsidRPr="00B03E95" w:rsidTr="00B03E95">
        <w:trPr>
          <w:trHeight w:val="229"/>
          <w:jc w:val="center"/>
        </w:trPr>
        <w:tc>
          <w:tcPr>
            <w:tcW w:w="1051" w:type="dxa"/>
            <w:vMerge/>
            <w:vAlign w:val="center"/>
          </w:tcPr>
          <w:p w:rsidR="00A4283C" w:rsidRPr="00B03E95" w:rsidRDefault="00A4283C" w:rsidP="00B03E95">
            <w:pPr>
              <w:spacing w:line="360" w:lineRule="auto"/>
              <w:jc w:val="center"/>
            </w:pPr>
          </w:p>
        </w:tc>
        <w:tc>
          <w:tcPr>
            <w:tcW w:w="1052"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C3</w:t>
            </w:r>
          </w:p>
        </w:tc>
        <w:tc>
          <w:tcPr>
            <w:tcW w:w="1974"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18</w:t>
            </w:r>
          </w:p>
        </w:tc>
        <w:tc>
          <w:tcPr>
            <w:tcW w:w="2764"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0.1</w:t>
            </w:r>
          </w:p>
        </w:tc>
      </w:tr>
      <w:tr w:rsidR="00A4283C" w:rsidRPr="00B03E95" w:rsidTr="00B03E95">
        <w:trPr>
          <w:trHeight w:val="229"/>
          <w:jc w:val="center"/>
        </w:trPr>
        <w:tc>
          <w:tcPr>
            <w:tcW w:w="1051" w:type="dxa"/>
            <w:vMerge/>
            <w:vAlign w:val="center"/>
          </w:tcPr>
          <w:p w:rsidR="00A4283C" w:rsidRPr="00B03E95" w:rsidRDefault="00A4283C" w:rsidP="00B03E95">
            <w:pPr>
              <w:spacing w:line="360" w:lineRule="auto"/>
              <w:jc w:val="center"/>
            </w:pPr>
          </w:p>
        </w:tc>
        <w:tc>
          <w:tcPr>
            <w:tcW w:w="1052"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C4</w:t>
            </w:r>
          </w:p>
        </w:tc>
        <w:tc>
          <w:tcPr>
            <w:tcW w:w="1974"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6</w:t>
            </w:r>
          </w:p>
        </w:tc>
        <w:tc>
          <w:tcPr>
            <w:tcW w:w="2764"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0.1</w:t>
            </w:r>
          </w:p>
        </w:tc>
      </w:tr>
      <w:tr w:rsidR="00A4283C" w:rsidRPr="00B03E95" w:rsidTr="00B03E95">
        <w:trPr>
          <w:trHeight w:val="229"/>
          <w:jc w:val="center"/>
        </w:trPr>
        <w:tc>
          <w:tcPr>
            <w:tcW w:w="1051" w:type="dxa"/>
            <w:vMerge/>
            <w:vAlign w:val="center"/>
          </w:tcPr>
          <w:p w:rsidR="00A4283C" w:rsidRPr="00B03E95" w:rsidRDefault="00A4283C" w:rsidP="00B03E95">
            <w:pPr>
              <w:spacing w:line="360" w:lineRule="auto"/>
              <w:jc w:val="center"/>
            </w:pPr>
          </w:p>
        </w:tc>
        <w:tc>
          <w:tcPr>
            <w:tcW w:w="1052"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C5</w:t>
            </w:r>
          </w:p>
        </w:tc>
        <w:tc>
          <w:tcPr>
            <w:tcW w:w="1974"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3</w:t>
            </w:r>
          </w:p>
        </w:tc>
        <w:tc>
          <w:tcPr>
            <w:tcW w:w="2764" w:type="dxa"/>
            <w:vAlign w:val="center"/>
          </w:tcPr>
          <w:p w:rsidR="00A4283C" w:rsidRPr="00B03E95" w:rsidRDefault="00A4283C" w:rsidP="00B03E95">
            <w:pPr>
              <w:spacing w:line="360" w:lineRule="auto"/>
              <w:jc w:val="center"/>
              <w:rPr>
                <w:rFonts w:ascii="仿宋" w:eastAsia="仿宋" w:hAnsi="仿宋"/>
                <w:sz w:val="24"/>
                <w:szCs w:val="24"/>
              </w:rPr>
            </w:pPr>
            <w:r w:rsidRPr="00B03E95">
              <w:rPr>
                <w:rFonts w:ascii="仿宋" w:eastAsia="仿宋" w:hAnsi="仿宋"/>
                <w:sz w:val="24"/>
                <w:szCs w:val="24"/>
              </w:rPr>
              <w:t>0.1</w:t>
            </w:r>
          </w:p>
        </w:tc>
      </w:tr>
    </w:tbl>
    <w:p w:rsidR="00A4283C" w:rsidRDefault="00A4283C">
      <w:pPr>
        <w:spacing w:line="360" w:lineRule="auto"/>
      </w:pPr>
    </w:p>
    <w:p w:rsidR="00A4283C" w:rsidRDefault="00A4283C" w:rsidP="00FF5654">
      <w:pPr>
        <w:spacing w:line="360" w:lineRule="auto"/>
        <w:ind w:firstLineChars="100" w:firstLine="31680"/>
        <w:rPr>
          <w:rFonts w:ascii="仿宋" w:eastAsia="仿宋" w:hAnsi="仿宋"/>
          <w:sz w:val="28"/>
          <w:szCs w:val="24"/>
        </w:rPr>
      </w:pPr>
      <w:r>
        <w:rPr>
          <w:rFonts w:ascii="仿宋" w:eastAsia="仿宋" w:hAnsi="仿宋" w:hint="eastAsia"/>
          <w:b/>
          <w:sz w:val="28"/>
          <w:szCs w:val="24"/>
        </w:rPr>
        <w:t>第七条</w:t>
      </w:r>
      <w:r>
        <w:rPr>
          <w:rFonts w:ascii="仿宋" w:eastAsia="仿宋" w:hAnsi="仿宋"/>
          <w:sz w:val="28"/>
          <w:szCs w:val="24"/>
        </w:rPr>
        <w:t xml:space="preserve"> </w:t>
      </w:r>
      <w:r>
        <w:rPr>
          <w:rFonts w:ascii="仿宋" w:eastAsia="仿宋" w:hAnsi="仿宋" w:hint="eastAsia"/>
          <w:sz w:val="28"/>
          <w:szCs w:val="24"/>
        </w:rPr>
        <w:t>各等级赛事按照赛事名次发放的大师分参照赛事等级、赛事规模、注册牌手获得赛事名次进行发放，不同的赛事等级发放的大师分总数不同，赛事的级别越高，按照排名发放的三种大师分数越多。</w:t>
      </w:r>
    </w:p>
    <w:p w:rsidR="00A4283C" w:rsidRDefault="00A4283C" w:rsidP="00FF5654">
      <w:pPr>
        <w:spacing w:line="360" w:lineRule="auto"/>
        <w:ind w:firstLineChars="100" w:firstLine="31680"/>
        <w:rPr>
          <w:rFonts w:ascii="仿宋" w:eastAsia="仿宋" w:hAnsi="仿宋"/>
          <w:sz w:val="28"/>
          <w:szCs w:val="24"/>
        </w:rPr>
      </w:pPr>
      <w:r>
        <w:rPr>
          <w:rFonts w:ascii="仿宋" w:eastAsia="仿宋" w:hAnsi="仿宋" w:hint="eastAsia"/>
          <w:b/>
          <w:sz w:val="28"/>
          <w:szCs w:val="24"/>
        </w:rPr>
        <w:t>第八条</w:t>
      </w:r>
      <w:r>
        <w:rPr>
          <w:rFonts w:ascii="仿宋" w:eastAsia="仿宋" w:hAnsi="仿宋"/>
          <w:sz w:val="28"/>
          <w:szCs w:val="24"/>
        </w:rPr>
        <w:t xml:space="preserve"> </w:t>
      </w:r>
      <w:r>
        <w:rPr>
          <w:rFonts w:ascii="仿宋" w:eastAsia="仿宋" w:hAnsi="仿宋" w:hint="eastAsia"/>
          <w:sz w:val="28"/>
          <w:szCs w:val="24"/>
        </w:rPr>
        <w:t>注册单位举办的</w:t>
      </w:r>
      <w:r>
        <w:rPr>
          <w:rFonts w:ascii="仿宋" w:eastAsia="仿宋" w:hAnsi="仿宋"/>
          <w:sz w:val="28"/>
          <w:szCs w:val="24"/>
        </w:rPr>
        <w:t>A</w:t>
      </w:r>
      <w:r>
        <w:rPr>
          <w:rFonts w:ascii="仿宋" w:eastAsia="仿宋" w:hAnsi="仿宋" w:hint="eastAsia"/>
          <w:sz w:val="28"/>
          <w:szCs w:val="24"/>
        </w:rPr>
        <w:t>级赛事，当报名参赛人数超过</w:t>
      </w:r>
      <w:r>
        <w:rPr>
          <w:rFonts w:ascii="仿宋" w:eastAsia="仿宋" w:hAnsi="仿宋"/>
          <w:sz w:val="28"/>
          <w:szCs w:val="24"/>
        </w:rPr>
        <w:t>1000</w:t>
      </w:r>
      <w:r>
        <w:rPr>
          <w:rFonts w:ascii="仿宋" w:eastAsia="仿宋" w:hAnsi="仿宋" w:hint="eastAsia"/>
          <w:sz w:val="28"/>
          <w:szCs w:val="24"/>
        </w:rPr>
        <w:t>时，参与限定场地赛的选手可获得金分；否则，参赛选手仅可获得银分和红分。</w:t>
      </w:r>
    </w:p>
    <w:p w:rsidR="00A4283C" w:rsidRDefault="00A4283C" w:rsidP="00FF5654">
      <w:pPr>
        <w:spacing w:line="360" w:lineRule="auto"/>
        <w:ind w:firstLineChars="100" w:firstLine="31680"/>
        <w:rPr>
          <w:rFonts w:ascii="仿宋" w:eastAsia="仿宋" w:hAnsi="仿宋"/>
          <w:sz w:val="28"/>
          <w:szCs w:val="24"/>
        </w:rPr>
      </w:pPr>
      <w:r>
        <w:rPr>
          <w:rFonts w:ascii="仿宋" w:eastAsia="仿宋" w:hAnsi="仿宋" w:hint="eastAsia"/>
          <w:b/>
          <w:sz w:val="28"/>
          <w:szCs w:val="24"/>
        </w:rPr>
        <w:t>第九条</w:t>
      </w:r>
      <w:r>
        <w:rPr>
          <w:rFonts w:ascii="仿宋" w:eastAsia="仿宋" w:hAnsi="仿宋"/>
          <w:b/>
          <w:sz w:val="28"/>
          <w:szCs w:val="24"/>
        </w:rPr>
        <w:t xml:space="preserve">  </w:t>
      </w:r>
      <w:r>
        <w:rPr>
          <w:rFonts w:ascii="仿宋" w:eastAsia="仿宋" w:hAnsi="仿宋" w:hint="eastAsia"/>
          <w:sz w:val="28"/>
          <w:szCs w:val="24"/>
        </w:rPr>
        <w:t>不同等级的赛事大师分发放数量参照《竞技二打一扑克大师分发放规则明细》。</w:t>
      </w:r>
    </w:p>
    <w:p w:rsidR="00A4283C" w:rsidRDefault="00A4283C">
      <w:pPr>
        <w:pStyle w:val="Heading1"/>
        <w:rPr>
          <w:rFonts w:ascii="仿宋" w:eastAsia="仿宋" w:hAnsi="仿宋"/>
          <w:sz w:val="28"/>
          <w:szCs w:val="28"/>
        </w:rPr>
      </w:pPr>
      <w:r>
        <w:rPr>
          <w:rFonts w:ascii="仿宋" w:eastAsia="仿宋" w:hAnsi="仿宋" w:hint="eastAsia"/>
          <w:sz w:val="28"/>
          <w:szCs w:val="28"/>
        </w:rPr>
        <w:t>第四节</w:t>
      </w:r>
      <w:r>
        <w:rPr>
          <w:rFonts w:ascii="仿宋" w:eastAsia="仿宋" w:hAnsi="仿宋"/>
          <w:sz w:val="28"/>
          <w:szCs w:val="28"/>
        </w:rPr>
        <w:t xml:space="preserve"> </w:t>
      </w:r>
      <w:r>
        <w:rPr>
          <w:rFonts w:ascii="仿宋" w:eastAsia="仿宋" w:hAnsi="仿宋" w:hint="eastAsia"/>
          <w:sz w:val="28"/>
          <w:szCs w:val="28"/>
        </w:rPr>
        <w:t>大师分的衰减</w:t>
      </w:r>
    </w:p>
    <w:p w:rsidR="00A4283C" w:rsidRDefault="00A4283C" w:rsidP="00FF5654">
      <w:pPr>
        <w:spacing w:line="360" w:lineRule="auto"/>
        <w:ind w:firstLineChars="100" w:firstLine="31680"/>
        <w:rPr>
          <w:rFonts w:ascii="仿宋" w:eastAsia="仿宋" w:hAnsi="仿宋" w:cs="宋体"/>
          <w:kern w:val="0"/>
          <w:sz w:val="28"/>
          <w:szCs w:val="24"/>
        </w:rPr>
      </w:pPr>
      <w:r>
        <w:rPr>
          <w:rFonts w:ascii="仿宋" w:eastAsia="仿宋" w:hAnsi="仿宋" w:hint="eastAsia"/>
          <w:b/>
          <w:sz w:val="28"/>
          <w:szCs w:val="24"/>
        </w:rPr>
        <w:t>第十条</w:t>
      </w:r>
      <w:r>
        <w:rPr>
          <w:rFonts w:ascii="仿宋" w:eastAsia="仿宋" w:hAnsi="仿宋" w:cs="宋体"/>
          <w:kern w:val="0"/>
          <w:sz w:val="28"/>
          <w:szCs w:val="24"/>
        </w:rPr>
        <w:t xml:space="preserve"> </w:t>
      </w:r>
      <w:r>
        <w:rPr>
          <w:rFonts w:ascii="仿宋" w:eastAsia="仿宋" w:hAnsi="仿宋" w:cs="宋体" w:hint="eastAsia"/>
          <w:kern w:val="0"/>
          <w:sz w:val="28"/>
          <w:szCs w:val="24"/>
        </w:rPr>
        <w:t>非活跃牌手的大师分（包括金分、银分、红分）每月衰减当前总数的</w:t>
      </w:r>
      <w:r>
        <w:rPr>
          <w:rFonts w:ascii="仿宋" w:eastAsia="仿宋" w:hAnsi="仿宋" w:cs="宋体"/>
          <w:kern w:val="0"/>
          <w:sz w:val="28"/>
          <w:szCs w:val="24"/>
        </w:rPr>
        <w:t>10%</w:t>
      </w:r>
      <w:r>
        <w:rPr>
          <w:rFonts w:ascii="仿宋" w:eastAsia="仿宋" w:hAnsi="仿宋" w:cs="宋体" w:hint="eastAsia"/>
          <w:kern w:val="0"/>
          <w:sz w:val="28"/>
          <w:szCs w:val="24"/>
        </w:rPr>
        <w:t>，对应称号随大师分变化而调整。终身特级大师的大师分及其称号均不衰减。</w:t>
      </w:r>
    </w:p>
    <w:p w:rsidR="00A4283C" w:rsidRDefault="00A4283C">
      <w:pPr>
        <w:pStyle w:val="Heading1"/>
        <w:rPr>
          <w:rFonts w:ascii="仿宋" w:eastAsia="仿宋" w:hAnsi="仿宋"/>
          <w:b w:val="0"/>
          <w:sz w:val="28"/>
          <w:szCs w:val="28"/>
        </w:rPr>
      </w:pPr>
      <w:r>
        <w:rPr>
          <w:rFonts w:ascii="仿宋" w:eastAsia="仿宋" w:hAnsi="仿宋" w:hint="eastAsia"/>
          <w:sz w:val="28"/>
          <w:szCs w:val="28"/>
        </w:rPr>
        <w:t>第五节</w:t>
      </w:r>
      <w:r>
        <w:rPr>
          <w:rFonts w:ascii="仿宋" w:eastAsia="仿宋" w:hAnsi="仿宋"/>
          <w:sz w:val="28"/>
          <w:szCs w:val="28"/>
        </w:rPr>
        <w:t xml:space="preserve"> </w:t>
      </w:r>
      <w:r>
        <w:rPr>
          <w:rFonts w:ascii="仿宋" w:eastAsia="仿宋" w:hAnsi="仿宋" w:hint="eastAsia"/>
          <w:sz w:val="28"/>
          <w:szCs w:val="28"/>
        </w:rPr>
        <w:t>大师分的公布</w:t>
      </w:r>
    </w:p>
    <w:p w:rsidR="00A4283C" w:rsidRDefault="00A4283C" w:rsidP="00FF5654">
      <w:pPr>
        <w:spacing w:line="360" w:lineRule="auto"/>
        <w:ind w:firstLineChars="100" w:firstLine="31680"/>
        <w:rPr>
          <w:rFonts w:ascii="仿宋" w:eastAsia="仿宋" w:hAnsi="仿宋"/>
          <w:sz w:val="28"/>
          <w:szCs w:val="24"/>
        </w:rPr>
      </w:pPr>
      <w:r>
        <w:rPr>
          <w:rFonts w:ascii="仿宋" w:eastAsia="仿宋" w:hAnsi="仿宋" w:hint="eastAsia"/>
          <w:b/>
          <w:sz w:val="28"/>
          <w:szCs w:val="24"/>
        </w:rPr>
        <w:t>第十一条</w:t>
      </w:r>
      <w:r>
        <w:rPr>
          <w:rFonts w:ascii="仿宋" w:eastAsia="仿宋" w:hAnsi="仿宋"/>
          <w:sz w:val="28"/>
          <w:szCs w:val="24"/>
        </w:rPr>
        <w:t xml:space="preserve"> </w:t>
      </w:r>
      <w:r>
        <w:rPr>
          <w:rFonts w:ascii="仿宋" w:eastAsia="仿宋" w:hAnsi="仿宋" w:hint="eastAsia"/>
          <w:sz w:val="28"/>
          <w:szCs w:val="24"/>
        </w:rPr>
        <w:t>注册牌手可随时登陆中国智力运动网查询本人当前的大师分记录。</w:t>
      </w:r>
    </w:p>
    <w:p w:rsidR="00A4283C" w:rsidRDefault="00A4283C" w:rsidP="00FF5654">
      <w:pPr>
        <w:spacing w:line="360" w:lineRule="auto"/>
        <w:ind w:firstLineChars="100" w:firstLine="31680"/>
        <w:rPr>
          <w:rFonts w:ascii="仿宋" w:eastAsia="仿宋" w:hAnsi="仿宋"/>
          <w:sz w:val="28"/>
          <w:szCs w:val="24"/>
        </w:rPr>
      </w:pPr>
      <w:r>
        <w:rPr>
          <w:rFonts w:ascii="仿宋" w:eastAsia="仿宋" w:hAnsi="仿宋" w:hint="eastAsia"/>
          <w:b/>
          <w:sz w:val="28"/>
          <w:szCs w:val="24"/>
        </w:rPr>
        <w:t>第十二条</w:t>
      </w:r>
      <w:r>
        <w:rPr>
          <w:rFonts w:ascii="仿宋" w:eastAsia="仿宋" w:hAnsi="仿宋"/>
          <w:sz w:val="28"/>
          <w:szCs w:val="24"/>
        </w:rPr>
        <w:t xml:space="preserve"> </w:t>
      </w:r>
      <w:r>
        <w:rPr>
          <w:rFonts w:ascii="仿宋" w:eastAsia="仿宋" w:hAnsi="仿宋" w:hint="eastAsia"/>
          <w:sz w:val="28"/>
          <w:szCs w:val="24"/>
        </w:rPr>
        <w:t>注册牌手发现中国智力运动网公布的大师分有误，可直接向中国智力运动网查询并申请修正。每期大师分公布后当月内为查询修正期，过期后不得更改。</w:t>
      </w:r>
    </w:p>
    <w:p w:rsidR="00A4283C" w:rsidRDefault="00A4283C">
      <w:pPr>
        <w:pStyle w:val="Heading1"/>
        <w:rPr>
          <w:rFonts w:ascii="仿宋" w:eastAsia="仿宋" w:hAnsi="仿宋"/>
          <w:sz w:val="28"/>
          <w:szCs w:val="28"/>
        </w:rPr>
      </w:pPr>
      <w:r>
        <w:rPr>
          <w:rFonts w:ascii="仿宋" w:eastAsia="仿宋" w:hAnsi="仿宋" w:hint="eastAsia"/>
          <w:sz w:val="28"/>
          <w:szCs w:val="28"/>
        </w:rPr>
        <w:t>第六节</w:t>
      </w:r>
      <w:r>
        <w:rPr>
          <w:rFonts w:ascii="仿宋" w:eastAsia="仿宋" w:hAnsi="仿宋"/>
          <w:sz w:val="28"/>
          <w:szCs w:val="28"/>
        </w:rPr>
        <w:t xml:space="preserve"> </w:t>
      </w:r>
      <w:r>
        <w:rPr>
          <w:rFonts w:ascii="仿宋" w:eastAsia="仿宋" w:hAnsi="仿宋" w:hint="eastAsia"/>
          <w:sz w:val="28"/>
          <w:szCs w:val="28"/>
        </w:rPr>
        <w:t>解释权</w:t>
      </w:r>
    </w:p>
    <w:p w:rsidR="00A4283C" w:rsidRDefault="00A4283C" w:rsidP="00FF5654">
      <w:pPr>
        <w:spacing w:line="360" w:lineRule="auto"/>
        <w:ind w:firstLineChars="100" w:firstLine="31680"/>
        <w:rPr>
          <w:rFonts w:ascii="仿宋" w:eastAsia="仿宋" w:hAnsi="仿宋"/>
          <w:sz w:val="28"/>
          <w:szCs w:val="24"/>
        </w:rPr>
      </w:pPr>
      <w:r>
        <w:rPr>
          <w:rFonts w:ascii="仿宋" w:eastAsia="仿宋" w:hAnsi="仿宋" w:hint="eastAsia"/>
          <w:b/>
          <w:sz w:val="28"/>
          <w:szCs w:val="24"/>
        </w:rPr>
        <w:t>第十三条</w:t>
      </w:r>
      <w:r>
        <w:rPr>
          <w:rFonts w:ascii="仿宋" w:eastAsia="仿宋" w:hAnsi="仿宋"/>
          <w:sz w:val="28"/>
          <w:szCs w:val="24"/>
        </w:rPr>
        <w:t xml:space="preserve"> </w:t>
      </w:r>
      <w:r>
        <w:rPr>
          <w:rFonts w:ascii="仿宋" w:eastAsia="仿宋" w:hAnsi="仿宋" w:hint="eastAsia"/>
          <w:sz w:val="28"/>
          <w:szCs w:val="24"/>
        </w:rPr>
        <w:t>本实施细则最终解释权和修改权归属国家体育总局棋牌运动管理中心所有，其内容和更新以中国智力运动网公布为准。</w:t>
      </w:r>
    </w:p>
    <w:p w:rsidR="00A4283C" w:rsidRPr="00FF5654" w:rsidRDefault="00A4283C"/>
    <w:p w:rsidR="00A4283C" w:rsidRDefault="00A4283C"/>
    <w:sectPr w:rsidR="00A4283C" w:rsidSect="00346B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
    <w:altName w:val="Arial Unicode MS"/>
    <w:panose1 w:val="00000000000000000000"/>
    <w:charset w:val="86"/>
    <w:family w:val="modern"/>
    <w:notTrueType/>
    <w:pitch w:val="default"/>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CF05D48"/>
    <w:rsid w:val="00346B32"/>
    <w:rsid w:val="00650E35"/>
    <w:rsid w:val="00A4283C"/>
    <w:rsid w:val="00B03E95"/>
    <w:rsid w:val="00FF5654"/>
    <w:rsid w:val="06A360CC"/>
    <w:rsid w:val="2CF05D48"/>
    <w:rsid w:val="461B7C9B"/>
    <w:rsid w:val="5229374A"/>
    <w:rsid w:val="5C794647"/>
    <w:rsid w:val="5E312233"/>
    <w:rsid w:val="76D41B1F"/>
    <w:rsid w:val="77B24F88"/>
    <w:rsid w:val="7E6A0F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B32"/>
    <w:pPr>
      <w:widowControl w:val="0"/>
      <w:jc w:val="both"/>
    </w:pPr>
  </w:style>
  <w:style w:type="paragraph" w:styleId="Heading1">
    <w:name w:val="heading 1"/>
    <w:basedOn w:val="Normal"/>
    <w:next w:val="Normal"/>
    <w:link w:val="Heading1Char"/>
    <w:uiPriority w:val="99"/>
    <w:qFormat/>
    <w:rsid w:val="00346B32"/>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346B32"/>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769"/>
    <w:rPr>
      <w:b/>
      <w:bCs/>
      <w:kern w:val="44"/>
      <w:sz w:val="44"/>
      <w:szCs w:val="44"/>
    </w:rPr>
  </w:style>
  <w:style w:type="character" w:customStyle="1" w:styleId="Heading2Char">
    <w:name w:val="Heading 2 Char"/>
    <w:basedOn w:val="DefaultParagraphFont"/>
    <w:link w:val="Heading2"/>
    <w:uiPriority w:val="9"/>
    <w:semiHidden/>
    <w:rsid w:val="00363769"/>
    <w:rPr>
      <w:rFonts w:asciiTheme="majorHAnsi" w:eastAsiaTheme="majorEastAsia" w:hAnsiTheme="majorHAnsi" w:cstheme="majorBidi"/>
      <w:b/>
      <w:bCs/>
      <w:sz w:val="32"/>
      <w:szCs w:val="32"/>
    </w:rPr>
  </w:style>
  <w:style w:type="paragraph" w:styleId="Footer">
    <w:name w:val="footer"/>
    <w:basedOn w:val="Normal"/>
    <w:link w:val="FooterChar"/>
    <w:uiPriority w:val="99"/>
    <w:rsid w:val="00346B3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363769"/>
    <w:rPr>
      <w:sz w:val="18"/>
      <w:szCs w:val="18"/>
    </w:rPr>
  </w:style>
  <w:style w:type="table" w:styleId="TableGrid">
    <w:name w:val="Table Grid"/>
    <w:basedOn w:val="TableNormal"/>
    <w:uiPriority w:val="99"/>
    <w:rsid w:val="00346B3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F5654"/>
    <w:rPr>
      <w:sz w:val="18"/>
      <w:szCs w:val="18"/>
    </w:rPr>
  </w:style>
  <w:style w:type="character" w:customStyle="1" w:styleId="BalloonTextChar">
    <w:name w:val="Balloon Text Char"/>
    <w:basedOn w:val="DefaultParagraphFont"/>
    <w:link w:val="BalloonText"/>
    <w:uiPriority w:val="99"/>
    <w:semiHidden/>
    <w:rsid w:val="00363769"/>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178</Words>
  <Characters>1020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c:creator>
  <cp:keywords/>
  <dc:description/>
  <cp:lastModifiedBy>MC SYSTEM</cp:lastModifiedBy>
  <cp:revision>2</cp:revision>
  <cp:lastPrinted>2016-05-20T06:38:00Z</cp:lastPrinted>
  <dcterms:created xsi:type="dcterms:W3CDTF">2016-04-09T13:08:00Z</dcterms:created>
  <dcterms:modified xsi:type="dcterms:W3CDTF">2016-05-20T06:38:00Z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