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DAE5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中</w:t>
      </w:r>
      <w:r>
        <w:rPr>
          <w:rFonts w:hint="eastAsia" w:ascii="宋体" w:hAnsi="宋体" w:eastAsia="宋体"/>
          <w:b/>
          <w:bCs/>
          <w:sz w:val="36"/>
          <w:szCs w:val="36"/>
        </w:rPr>
        <w:t>国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魔方运动工作</w:t>
      </w:r>
      <w:r>
        <w:rPr>
          <w:rFonts w:hint="eastAsia" w:ascii="宋体" w:hAnsi="宋体" w:eastAsia="宋体"/>
          <w:b/>
          <w:bCs/>
          <w:sz w:val="36"/>
          <w:szCs w:val="36"/>
        </w:rPr>
        <w:t>委员会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工作规则（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试行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）</w:t>
      </w:r>
    </w:p>
    <w:p w14:paraId="572B8C69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（征求意见稿）</w:t>
      </w:r>
    </w:p>
    <w:p w14:paraId="74A78305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</w:p>
    <w:p w14:paraId="15B0DB0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总则</w:t>
      </w:r>
    </w:p>
    <w:p w14:paraId="6A368CB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中国魔方运动工作委员会</w:t>
      </w:r>
      <w:r>
        <w:rPr>
          <w:rFonts w:hint="eastAsia" w:ascii="仿宋" w:hAnsi="仿宋" w:eastAsia="仿宋"/>
          <w:sz w:val="32"/>
          <w:szCs w:val="32"/>
        </w:rPr>
        <w:t>（以下简称“委员会”）是在国家体育总局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棋牌运动管理</w:t>
      </w:r>
      <w:r>
        <w:rPr>
          <w:rFonts w:hint="eastAsia" w:ascii="仿宋" w:hAnsi="仿宋" w:eastAsia="仿宋"/>
          <w:sz w:val="32"/>
          <w:szCs w:val="32"/>
        </w:rPr>
        <w:t>中心（以下简称“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中心”）领导下成立的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魔方运动</w:t>
      </w:r>
      <w:r>
        <w:rPr>
          <w:rFonts w:hint="eastAsia" w:ascii="仿宋" w:hAnsi="仿宋" w:eastAsia="仿宋"/>
          <w:sz w:val="32"/>
          <w:szCs w:val="32"/>
        </w:rPr>
        <w:t>推广机构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具有承担行业指导、标准制定与资源协调职能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1E411C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委员会的宗旨是遵守宪法、法律、法规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国家政策，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践行社会主义核心价值观</w:t>
      </w:r>
      <w:r>
        <w:rPr>
          <w:rFonts w:hint="eastAsia" w:ascii="仿宋" w:hAnsi="仿宋" w:eastAsia="仿宋"/>
          <w:sz w:val="32"/>
          <w:szCs w:val="32"/>
        </w:rPr>
        <w:t>，加强诚信自律建设，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系统性</w:t>
      </w:r>
      <w:r>
        <w:rPr>
          <w:rFonts w:hint="eastAsia" w:ascii="仿宋" w:hAnsi="仿宋" w:eastAsia="仿宋"/>
          <w:sz w:val="32"/>
          <w:szCs w:val="32"/>
        </w:rPr>
        <w:t>推广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魔方运动，提升全民智力素养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512B8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/>
          <w:sz w:val="32"/>
          <w:szCs w:val="32"/>
        </w:rPr>
        <w:t>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棋牌中心</w:t>
      </w:r>
      <w:r>
        <w:rPr>
          <w:rFonts w:hint="eastAsia" w:ascii="仿宋" w:hAnsi="仿宋" w:eastAsia="仿宋"/>
          <w:sz w:val="32"/>
          <w:szCs w:val="32"/>
        </w:rPr>
        <w:t>的业务指导和监督管理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定期报备重大事项（含年度计划、赛事体系调整等）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2166C3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　工作职责</w:t>
      </w:r>
    </w:p>
    <w:p w14:paraId="3627268D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贯彻执行国家的方针政策</w:t>
      </w:r>
      <w:r>
        <w:rPr>
          <w:rFonts w:hint="eastAsia" w:ascii="仿宋" w:hAnsi="仿宋" w:eastAsia="仿宋"/>
          <w:sz w:val="32"/>
          <w:szCs w:val="32"/>
          <w:lang w:eastAsia="zh-CN"/>
        </w:rPr>
        <w:t>按照总局棋牌中心的要求，实施对魔方运动的全面管理，研究和制定魔方运动的发展规划、计划、制度和政策。加强项目的规范化建设，组织指导全国魔方运动的发展，推动项目的普及提高。主要职责包括：</w:t>
      </w:r>
    </w:p>
    <w:p w14:paraId="2BBEC4C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制定</w:t>
      </w:r>
      <w:r>
        <w:rPr>
          <w:rFonts w:hint="eastAsia" w:ascii="仿宋" w:hAnsi="仿宋" w:eastAsia="仿宋"/>
          <w:sz w:val="32"/>
          <w:szCs w:val="32"/>
          <w:lang w:eastAsia="zh-CN"/>
        </w:rPr>
        <w:t>魔方运动</w:t>
      </w:r>
      <w:r>
        <w:rPr>
          <w:rFonts w:hint="eastAsia" w:ascii="仿宋" w:hAnsi="仿宋" w:eastAsia="仿宋"/>
          <w:sz w:val="32"/>
          <w:szCs w:val="32"/>
        </w:rPr>
        <w:t>发展的方针政策、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中长期</w:t>
      </w:r>
      <w:r>
        <w:rPr>
          <w:rFonts w:hint="eastAsia" w:ascii="仿宋" w:hAnsi="仿宋" w:eastAsia="仿宋"/>
          <w:sz w:val="32"/>
          <w:szCs w:val="32"/>
        </w:rPr>
        <w:t>规划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（3-5年）及年度</w:t>
      </w:r>
      <w:r>
        <w:rPr>
          <w:rFonts w:hint="eastAsia" w:ascii="仿宋" w:hAnsi="仿宋" w:eastAsia="仿宋"/>
          <w:sz w:val="32"/>
          <w:szCs w:val="32"/>
        </w:rPr>
        <w:t>计划。</w:t>
      </w:r>
    </w:p>
    <w:p w14:paraId="27A6814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牵头编制《年度魔方运动推广实施方案》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C3405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管理和组织实施</w:t>
      </w:r>
      <w:r>
        <w:rPr>
          <w:rFonts w:hint="eastAsia" w:ascii="仿宋" w:hAnsi="仿宋" w:eastAsia="仿宋"/>
          <w:sz w:val="32"/>
          <w:szCs w:val="32"/>
          <w:lang w:eastAsia="zh-CN"/>
        </w:rPr>
        <w:t>魔方运动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赛事活动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制定赛事体系规划，规范赛事标准与流程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明确赛事分级标准及审批权限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 w14:paraId="5A0EE30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  <w:lang w:eastAsia="zh-CN"/>
        </w:rPr>
        <w:t>魔方运动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/>
          <w:sz w:val="32"/>
          <w:szCs w:val="32"/>
        </w:rPr>
        <w:t>标准研制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专业指导人才培养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包括但不限于运动员（等级划分与认证标准）、教练员（培训考核体系）、裁判员（分级管理与执裁资格）和运动水平等级等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DEFEC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hint="eastAsia" w:ascii="仿宋" w:hAnsi="仿宋" w:eastAsia="仿宋"/>
          <w:sz w:val="32"/>
          <w:szCs w:val="32"/>
          <w:lang w:eastAsia="zh-CN"/>
        </w:rPr>
        <w:t>魔方运动</w:t>
      </w:r>
      <w:r>
        <w:rPr>
          <w:rFonts w:hint="eastAsia" w:ascii="仿宋" w:hAnsi="仿宋" w:eastAsia="仿宋"/>
          <w:sz w:val="32"/>
          <w:szCs w:val="32"/>
        </w:rPr>
        <w:t>科学理论研究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学术研讨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和文化交流，每年至少组织1次全国性学术交流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DC0C2C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/>
          <w:sz w:val="32"/>
          <w:szCs w:val="32"/>
        </w:rPr>
        <w:t>开发</w:t>
      </w:r>
      <w:r>
        <w:rPr>
          <w:rFonts w:hint="eastAsia" w:ascii="仿宋" w:hAnsi="仿宋" w:eastAsia="仿宋"/>
          <w:sz w:val="32"/>
          <w:szCs w:val="32"/>
          <w:lang w:eastAsia="zh-CN"/>
        </w:rPr>
        <w:t>魔方运动</w:t>
      </w:r>
      <w:r>
        <w:rPr>
          <w:rFonts w:hint="eastAsia" w:ascii="仿宋" w:hAnsi="仿宋" w:eastAsia="仿宋"/>
          <w:sz w:val="32"/>
          <w:szCs w:val="32"/>
        </w:rPr>
        <w:t>装备器材，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制定器材安全与性能标准，</w:t>
      </w:r>
      <w:r>
        <w:rPr>
          <w:rFonts w:hint="eastAsia" w:ascii="仿宋" w:hAnsi="仿宋" w:eastAsia="仿宋"/>
          <w:sz w:val="32"/>
          <w:szCs w:val="32"/>
        </w:rPr>
        <w:t>促进</w:t>
      </w:r>
      <w:r>
        <w:rPr>
          <w:rFonts w:hint="eastAsia" w:ascii="仿宋" w:hAnsi="仿宋" w:eastAsia="仿宋"/>
          <w:sz w:val="32"/>
          <w:szCs w:val="32"/>
          <w:lang w:eastAsia="zh-CN"/>
        </w:rPr>
        <w:t>魔方运动</w:t>
      </w:r>
      <w:r>
        <w:rPr>
          <w:rFonts w:hint="eastAsia" w:ascii="仿宋" w:hAnsi="仿宋" w:eastAsia="仿宋"/>
          <w:sz w:val="32"/>
          <w:szCs w:val="32"/>
        </w:rPr>
        <w:t>产业发展。</w:t>
      </w:r>
    </w:p>
    <w:p w14:paraId="4C6B1FA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/>
          <w:sz w:val="32"/>
          <w:szCs w:val="32"/>
        </w:rPr>
        <w:t>参与和组织国际组织、国家和地区间的</w:t>
      </w:r>
      <w:r>
        <w:rPr>
          <w:rFonts w:hint="eastAsia" w:ascii="仿宋" w:hAnsi="仿宋" w:eastAsia="仿宋"/>
          <w:sz w:val="32"/>
          <w:szCs w:val="32"/>
          <w:lang w:eastAsia="zh-CN"/>
        </w:rPr>
        <w:t>魔方运动</w:t>
      </w:r>
      <w:r>
        <w:rPr>
          <w:rFonts w:hint="eastAsia" w:ascii="仿宋" w:hAnsi="仿宋" w:eastAsia="仿宋"/>
          <w:sz w:val="32"/>
          <w:szCs w:val="32"/>
        </w:rPr>
        <w:t>交流与合作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每年至少开展1次国际交流活动，</w:t>
      </w:r>
      <w:r>
        <w:rPr>
          <w:rFonts w:hint="eastAsia" w:ascii="仿宋" w:hAnsi="仿宋" w:eastAsia="仿宋"/>
          <w:sz w:val="32"/>
          <w:szCs w:val="32"/>
        </w:rPr>
        <w:t>提升中国魔方运动在国际上的地位和影响力，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传播中国文化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83CBA6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/>
          <w:sz w:val="32"/>
          <w:szCs w:val="32"/>
        </w:rPr>
        <w:t>委托有条件的单位协助委员会日常工作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明确委托单位的资质要求（如3年以上行业经验、无重大违规记录、具备专职团队等），及合作期限（一般不超过3年）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FF0228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（九）</w:t>
      </w:r>
      <w:r>
        <w:rPr>
          <w:rFonts w:hint="eastAsia" w:ascii="仿宋" w:hAnsi="仿宋" w:eastAsia="仿宋"/>
          <w:sz w:val="32"/>
          <w:szCs w:val="32"/>
        </w:rPr>
        <w:t>承办政府部门或有关单位委托的相关工作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建立“委托-对接-反馈”全流程台账，每季度向棋牌中心报送进展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E1A2B8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　组织机构</w:t>
      </w:r>
    </w:p>
    <w:p w14:paraId="7393D4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委员会的组成方案由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中心审查批准。</w:t>
      </w:r>
    </w:p>
    <w:p w14:paraId="6C884372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委员会设主任1名，副主任委员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若干</w:t>
      </w:r>
      <w:r>
        <w:rPr>
          <w:rFonts w:hint="eastAsia" w:ascii="仿宋" w:hAnsi="仿宋" w:eastAsia="仿宋"/>
          <w:sz w:val="32"/>
          <w:szCs w:val="32"/>
        </w:rPr>
        <w:t>名，秘书长1名，副秘书长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若干</w:t>
      </w:r>
      <w:r>
        <w:rPr>
          <w:rFonts w:hint="eastAsia" w:ascii="仿宋" w:hAnsi="仿宋" w:eastAsia="仿宋"/>
          <w:sz w:val="32"/>
          <w:szCs w:val="32"/>
        </w:rPr>
        <w:t>名，委员若干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/>
          <w:sz w:val="32"/>
          <w:szCs w:val="32"/>
        </w:rPr>
        <w:t>。主任、副主任、秘书长一般由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中心领导和相关负责同志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以及省区市主管部门相关负责同志</w:t>
      </w:r>
      <w:r>
        <w:rPr>
          <w:rFonts w:hint="eastAsia" w:ascii="仿宋" w:hAnsi="仿宋" w:eastAsia="仿宋"/>
          <w:sz w:val="32"/>
          <w:szCs w:val="32"/>
        </w:rPr>
        <w:t>担任，其他委员一般由本行业的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管理干部、</w:t>
      </w:r>
      <w:r>
        <w:rPr>
          <w:rFonts w:hint="eastAsia" w:ascii="仿宋" w:hAnsi="仿宋" w:eastAsia="仿宋"/>
          <w:sz w:val="32"/>
          <w:szCs w:val="32"/>
        </w:rPr>
        <w:t>企业负责人、行业专家等人员担任。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委员连续2年考核不合格或无故缺席3次活动，自动解聘。</w:t>
      </w:r>
    </w:p>
    <w:p w14:paraId="351D4F3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委员会下设竞赛</w:t>
      </w:r>
      <w:r>
        <w:rPr>
          <w:rFonts w:hint="eastAsia" w:ascii="仿宋" w:hAnsi="仿宋" w:eastAsia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/>
          <w:sz w:val="32"/>
          <w:szCs w:val="32"/>
        </w:rPr>
        <w:t>委员会、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裁判员专业</w:t>
      </w:r>
      <w:r>
        <w:rPr>
          <w:rFonts w:hint="eastAsia" w:ascii="仿宋" w:hAnsi="仿宋" w:eastAsia="仿宋"/>
          <w:sz w:val="32"/>
          <w:szCs w:val="32"/>
        </w:rPr>
        <w:t>委员会、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推广普及专业委员会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/>
          <w:sz w:val="32"/>
          <w:szCs w:val="32"/>
        </w:rPr>
        <w:t>宣传</w:t>
      </w:r>
      <w:r>
        <w:rPr>
          <w:rFonts w:hint="eastAsia" w:ascii="仿宋" w:hAnsi="仿宋" w:eastAsia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/>
          <w:sz w:val="32"/>
          <w:szCs w:val="32"/>
        </w:rPr>
        <w:t>委员会、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市场开发专业</w:t>
      </w:r>
      <w:r>
        <w:rPr>
          <w:rFonts w:hint="eastAsia" w:ascii="仿宋" w:hAnsi="仿宋" w:eastAsia="仿宋"/>
          <w:sz w:val="32"/>
          <w:szCs w:val="32"/>
        </w:rPr>
        <w:t>委员会等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5个专业委员会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各专业委员会</w:t>
      </w:r>
      <w:r>
        <w:rPr>
          <w:rFonts w:hint="eastAsia" w:ascii="仿宋" w:hAnsi="仿宋" w:eastAsia="仿宋"/>
          <w:sz w:val="32"/>
          <w:szCs w:val="32"/>
        </w:rPr>
        <w:t>主要负责人由行业专业人员担任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每年度向委员会述职，未达标者启动调整程序。</w:t>
      </w:r>
    </w:p>
    <w:p w14:paraId="34F288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全体委员应积极参加委员会的工作，对不履行职责，无故三次以上不参加委员会活动的人员，经报请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中心批准后另行聘任。</w:t>
      </w:r>
    </w:p>
    <w:p w14:paraId="053D37F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　工作程序</w:t>
      </w:r>
    </w:p>
    <w:p w14:paraId="54A0A05B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委员会根据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中心的要求，制订委员会工作计划和工作方案，报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中心批准后实施。委员会下设各</w:t>
      </w:r>
      <w:r>
        <w:rPr>
          <w:rFonts w:hint="eastAsia" w:ascii="仿宋" w:hAnsi="仿宋" w:eastAsia="仿宋"/>
          <w:sz w:val="32"/>
          <w:szCs w:val="32"/>
          <w:lang w:eastAsia="zh-CN"/>
        </w:rPr>
        <w:t>专业委员会</w:t>
      </w:r>
      <w:r>
        <w:rPr>
          <w:rFonts w:hint="eastAsia" w:ascii="仿宋" w:hAnsi="仿宋" w:eastAsia="仿宋"/>
          <w:sz w:val="32"/>
          <w:szCs w:val="32"/>
        </w:rPr>
        <w:t>制订</w:t>
      </w:r>
      <w:r>
        <w:rPr>
          <w:rFonts w:hint="eastAsia" w:ascii="仿宋" w:hAnsi="仿宋" w:eastAsia="仿宋"/>
          <w:sz w:val="32"/>
          <w:szCs w:val="32"/>
          <w:lang w:eastAsia="zh-CN"/>
        </w:rPr>
        <w:t>各自</w:t>
      </w:r>
      <w:r>
        <w:rPr>
          <w:rFonts w:hint="eastAsia" w:ascii="仿宋" w:hAnsi="仿宋" w:eastAsia="仿宋"/>
          <w:sz w:val="32"/>
          <w:szCs w:val="32"/>
        </w:rPr>
        <w:t>的工作计划和方案，报委员会批准后实施。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工作计划需明确目标、责任人、完成时限，每季度进行进度核查。</w:t>
      </w:r>
    </w:p>
    <w:p w14:paraId="4B684A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委员会对外发布的规则、规程、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/>
          <w:sz w:val="32"/>
          <w:szCs w:val="32"/>
        </w:rPr>
        <w:t>标准等内容须报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中心批准。</w:t>
      </w:r>
    </w:p>
    <w:p w14:paraId="18B09D55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委员会一般每年召开一次年会，总结上年度工作，安排下年度计划，检查经费使用情况等。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年会需提前15个工作日通知全体委员，会后形成会议纪要。</w:t>
      </w:r>
    </w:p>
    <w:p w14:paraId="229534D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十二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委员会每年向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中心书面报告一次工作。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报告内容应包括年度工作完成情况、经费使用明细、存在问题及改进措施，报告时间不得晚于次年1月31日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2BAA84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　经费</w:t>
      </w:r>
    </w:p>
    <w:p w14:paraId="16791F7D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十三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委员会的经费由</w:t>
      </w:r>
      <w:r>
        <w:rPr>
          <w:rFonts w:hint="eastAsia" w:ascii="仿宋" w:hAnsi="仿宋" w:eastAsia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/>
          <w:sz w:val="32"/>
          <w:szCs w:val="32"/>
        </w:rPr>
        <w:t>以下几方面</w:t>
      </w:r>
      <w:r>
        <w:rPr>
          <w:rFonts w:hint="eastAsia" w:ascii="仿宋" w:hAnsi="仿宋" w:eastAsia="仿宋"/>
          <w:sz w:val="32"/>
          <w:szCs w:val="32"/>
          <w:lang w:eastAsia="zh-CN"/>
        </w:rPr>
        <w:t>组成</w:t>
      </w:r>
      <w:r>
        <w:rPr>
          <w:rFonts w:hint="eastAsia" w:ascii="仿宋" w:hAnsi="仿宋" w:eastAsia="仿宋"/>
          <w:sz w:val="32"/>
          <w:szCs w:val="32"/>
        </w:rPr>
        <w:t>：（一）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中心提供的业务经费。（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）赛事活动收入。（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）市场开发和社会赞助。（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）合作单位</w:t>
      </w:r>
      <w:r>
        <w:rPr>
          <w:rFonts w:hint="eastAsia" w:ascii="仿宋" w:hAnsi="仿宋" w:eastAsia="仿宋"/>
          <w:sz w:val="32"/>
          <w:szCs w:val="32"/>
          <w:lang w:eastAsia="zh-CN"/>
        </w:rPr>
        <w:t>支持</w:t>
      </w:r>
      <w:r>
        <w:rPr>
          <w:rFonts w:hint="eastAsia" w:ascii="仿宋" w:hAnsi="仿宋" w:eastAsia="仿宋"/>
          <w:sz w:val="32"/>
          <w:szCs w:val="32"/>
        </w:rPr>
        <w:t>的经费。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涉及市场开发所得的经费，按照《体育总局棋牌中心市场开发工作管理办法》（试行）执行。</w:t>
      </w:r>
    </w:p>
    <w:p w14:paraId="5109ED3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十四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委员会的经费用于以下几个方面：（一）委员会会议、赛事、培训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交流推广</w:t>
      </w:r>
      <w:r>
        <w:rPr>
          <w:rFonts w:hint="eastAsia" w:ascii="仿宋" w:hAnsi="仿宋" w:eastAsia="仿宋"/>
          <w:sz w:val="32"/>
          <w:szCs w:val="32"/>
        </w:rPr>
        <w:t>等活动经费。（二）委员会正常运营经费。</w:t>
      </w:r>
    </w:p>
    <w:p w14:paraId="170A621E">
      <w:pPr>
        <w:pStyle w:val="37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十五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会的经费开支等须遵守棋牌中心财务有关制度和程序要求。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经费报销需由经办人、专业委员会负责人、秘书长三级审核，单笔支出超过10万元及以上的需主任审批并经棋牌中心办公会批准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。</w:t>
      </w:r>
    </w:p>
    <w:p w14:paraId="4514E506">
      <w:pPr>
        <w:pStyle w:val="37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十六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委员会秘书长应指派专人对经费进行管理。经费的预决算由委员会审定，秘书长执行。收支情况报告应每年向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中心书面报告。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年度决算需经第三方审计机构审计，审计结果向委员公示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A1CC0CB">
      <w:pPr>
        <w:pStyle w:val="37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十七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委员会可委托有条件的合作单位协助委员会开展日常工作，该单位须为委员会提供必要的办公场地、办公经费和办公条件，派专人协助秘书长开展工作。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合作单位需每季度向委员会提交工作简报，年度进行考核评估，考核不合格的终止合作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A71AB6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　附则</w:t>
      </w:r>
    </w:p>
    <w:p w14:paraId="2D39ABEE">
      <w:pPr>
        <w:pStyle w:val="37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十八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委员会各部门可根据本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工作规则</w:t>
      </w:r>
      <w:r>
        <w:rPr>
          <w:rFonts w:hint="eastAsia" w:ascii="仿宋" w:hAnsi="仿宋" w:eastAsia="仿宋"/>
          <w:sz w:val="32"/>
          <w:szCs w:val="32"/>
        </w:rPr>
        <w:t>，结合本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管理职能</w:t>
      </w:r>
      <w:r>
        <w:rPr>
          <w:rFonts w:hint="eastAsia" w:ascii="仿宋" w:hAnsi="仿宋" w:eastAsia="仿宋"/>
          <w:sz w:val="32"/>
          <w:szCs w:val="32"/>
        </w:rPr>
        <w:t>，制订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相应</w:t>
      </w:r>
      <w:r>
        <w:rPr>
          <w:rFonts w:hint="eastAsia" w:ascii="仿宋" w:hAnsi="仿宋" w:eastAsia="仿宋"/>
          <w:sz w:val="32"/>
          <w:szCs w:val="32"/>
        </w:rPr>
        <w:t>工作细则。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工作细则需报委员会审议通过后生效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349E868">
      <w:pPr>
        <w:pStyle w:val="37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十九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工作规则</w:t>
      </w:r>
      <w:r>
        <w:rPr>
          <w:rFonts w:hint="eastAsia" w:ascii="仿宋" w:hAnsi="仿宋" w:eastAsia="仿宋"/>
          <w:sz w:val="32"/>
          <w:szCs w:val="32"/>
        </w:rPr>
        <w:t>未尽事宜，由委员会做出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决定。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重大事项决定需经2/3以上委员表决通过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09B800D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第二十条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工作规则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棋牌</w:t>
      </w:r>
      <w:r>
        <w:rPr>
          <w:rFonts w:hint="eastAsia" w:ascii="仿宋" w:hAnsi="仿宋" w:eastAsia="仿宋"/>
          <w:sz w:val="32"/>
          <w:szCs w:val="32"/>
        </w:rPr>
        <w:t>中心负责解释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自发布之日起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/>
          <w:sz w:val="32"/>
          <w:szCs w:val="32"/>
        </w:rPr>
        <w:t>实施。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试行期3年，试行期届满前3个月，由委员会成立专项评估小组，公开征集意见后修订。</w:t>
      </w:r>
    </w:p>
    <w:p w14:paraId="394FA5A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C947DC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EF"/>
    <w:rsid w:val="00115453"/>
    <w:rsid w:val="00187364"/>
    <w:rsid w:val="003E324E"/>
    <w:rsid w:val="00532B80"/>
    <w:rsid w:val="00572AE8"/>
    <w:rsid w:val="005A0ED7"/>
    <w:rsid w:val="005D7BEE"/>
    <w:rsid w:val="00652BD9"/>
    <w:rsid w:val="0071516A"/>
    <w:rsid w:val="00727E6A"/>
    <w:rsid w:val="00A54A98"/>
    <w:rsid w:val="00AB6A11"/>
    <w:rsid w:val="00CD59EF"/>
    <w:rsid w:val="00ED6395"/>
    <w:rsid w:val="00FD381A"/>
    <w:rsid w:val="02C24393"/>
    <w:rsid w:val="06D74AFF"/>
    <w:rsid w:val="12436950"/>
    <w:rsid w:val="141D6EE6"/>
    <w:rsid w:val="1EAB0F03"/>
    <w:rsid w:val="244B2840"/>
    <w:rsid w:val="256C3519"/>
    <w:rsid w:val="276F6B10"/>
    <w:rsid w:val="2DA354EC"/>
    <w:rsid w:val="3A373114"/>
    <w:rsid w:val="3DBD5771"/>
    <w:rsid w:val="4024246B"/>
    <w:rsid w:val="4515757C"/>
    <w:rsid w:val="456D2021"/>
    <w:rsid w:val="45F4468E"/>
    <w:rsid w:val="499605B6"/>
    <w:rsid w:val="4D3810C1"/>
    <w:rsid w:val="602C7DEF"/>
    <w:rsid w:val="679259FF"/>
    <w:rsid w:val="6A6E5693"/>
    <w:rsid w:val="728E6F76"/>
    <w:rsid w:val="77980A6E"/>
    <w:rsid w:val="79A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8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7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2 字符"/>
    <w:basedOn w:val="16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2197</Words>
  <Characters>2206</Characters>
  <Lines>51</Lines>
  <Paragraphs>14</Paragraphs>
  <TotalTime>29</TotalTime>
  <ScaleCrop>false</ScaleCrop>
  <LinksUpToDate>false</LinksUpToDate>
  <CharactersWithSpaces>2251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2025-05-19T01:44:00Z</dcterms:created>
  <dc:creator>YJ M</dc:creator>
  <cp:lastModifiedBy>王建新</cp:lastModifiedBy>
  <cp:lastPrinted>2025-07-29T02:46:00Z</cp:lastPrinted>
  <dcterms:modified xsi:type="dcterms:W3CDTF">2025-07-31T01:45:45Z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F2391FA2F3D84021AA474C83D33FB9C1_13</vt:lpwstr>
  </property>
  <property fmtid="{D5CDD505-2E9C-101B-9397-08002B2CF9AE}" pid="4" name="KSOTemplateDocerSaveRecord">
    <vt:lpwstr>eyJoZGlkIjoiODBhNjQyNTZhMmZkNmI0NDQyMWZmZDljZTAzNjc5ZjciLCJ1c2VySWQiOiIxOTY1NTg1ODcifQ==</vt:lpwstr>
  </property>
</Properties>
</file>