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0718AC">
      <w:pPr>
        <w:pStyle w:val="2"/>
        <w:widowControl/>
        <w:shd w:val="clear" w:color="auto" w:fill="FFFFFF"/>
        <w:spacing w:beforeAutospacing="0" w:afterAutospacing="0" w:line="570" w:lineRule="atLeast"/>
        <w:jc w:val="center"/>
        <w:rPr>
          <w:rFonts w:ascii="方正公文小标宋" w:hAnsi="方正公文小标宋" w:eastAsia="方正公文小标宋" w:cs="方正公文小标宋"/>
          <w:b w:val="0"/>
          <w:bCs w:val="0"/>
          <w:sz w:val="36"/>
          <w:szCs w:val="36"/>
          <w:shd w:val="clear" w:color="auto" w:fill="FFFFFF"/>
        </w:rPr>
      </w:pPr>
      <w:bookmarkStart w:id="0" w:name="_GoBack"/>
      <w:bookmarkEnd w:id="0"/>
      <w:r>
        <w:rPr>
          <w:rFonts w:ascii="方正公文小标宋" w:hAnsi="方正公文小标宋" w:eastAsia="方正公文小标宋" w:cs="方正公文小标宋"/>
          <w:b w:val="0"/>
          <w:bCs w:val="0"/>
          <w:sz w:val="36"/>
          <w:szCs w:val="36"/>
          <w:shd w:val="clear" w:color="auto" w:fill="FFFFFF"/>
        </w:rPr>
        <w:t>体育总局棋牌中心象棋、国际象棋项目</w:t>
      </w:r>
    </w:p>
    <w:p w14:paraId="0511EAA0">
      <w:pPr>
        <w:pStyle w:val="2"/>
        <w:widowControl/>
        <w:shd w:val="clear" w:color="auto" w:fill="FFFFFF"/>
        <w:spacing w:beforeAutospacing="0" w:afterAutospacing="0" w:line="570" w:lineRule="atLeast"/>
        <w:jc w:val="center"/>
        <w:rPr>
          <w:rFonts w:ascii="方正公文小标宋" w:hAnsi="方正公文小标宋" w:eastAsia="方正公文小标宋" w:cs="方正公文小标宋"/>
          <w:b w:val="0"/>
          <w:bCs w:val="0"/>
          <w:sz w:val="36"/>
          <w:szCs w:val="36"/>
        </w:rPr>
      </w:pPr>
      <w:r>
        <w:rPr>
          <w:rFonts w:ascii="方正公文小标宋" w:hAnsi="方正公文小标宋" w:eastAsia="方正公文小标宋" w:cs="方正公文小标宋"/>
          <w:b w:val="0"/>
          <w:bCs w:val="0"/>
          <w:sz w:val="36"/>
          <w:szCs w:val="36"/>
          <w:shd w:val="clear" w:color="auto" w:fill="FFFFFF"/>
        </w:rPr>
        <w:t>运动员技术等级管理办法实施细则</w:t>
      </w:r>
    </w:p>
    <w:p w14:paraId="3CB50A0E">
      <w:pPr>
        <w:pStyle w:val="6"/>
        <w:widowControl/>
        <w:spacing w:beforeAutospacing="0" w:afterAutospacing="0" w:line="420" w:lineRule="atLeast"/>
        <w:jc w:val="center"/>
        <w:rPr>
          <w:rFonts w:hint="eastAsia" w:ascii="仿宋" w:hAnsi="仿宋" w:eastAsia="仿宋" w:cs="仿宋"/>
          <w:sz w:val="32"/>
          <w:szCs w:val="32"/>
        </w:rPr>
      </w:pPr>
      <w:r>
        <w:rPr>
          <w:rFonts w:hint="eastAsia" w:ascii="仿宋" w:hAnsi="仿宋" w:eastAsia="仿宋" w:cs="仿宋"/>
          <w:sz w:val="32"/>
          <w:szCs w:val="32"/>
          <w:shd w:val="clear" w:color="auto" w:fill="FFFFFF"/>
        </w:rPr>
        <w:t> </w:t>
      </w:r>
    </w:p>
    <w:p w14:paraId="19D816CF">
      <w:pPr>
        <w:pStyle w:val="6"/>
        <w:widowControl/>
        <w:spacing w:beforeAutospacing="0" w:afterAutospacing="0" w:line="420" w:lineRule="atLeast"/>
        <w:ind w:firstLine="3213" w:firstLineChars="100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shd w:val="clear" w:color="auto" w:fill="FFFFFF"/>
        </w:rPr>
        <w:t>第一章 总则</w:t>
      </w:r>
    </w:p>
    <w:p w14:paraId="1CA59CDE">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第一条</w:t>
      </w:r>
      <w:r>
        <w:rPr>
          <w:rFonts w:hint="eastAsia" w:ascii="仿宋" w:hAnsi="仿宋" w:eastAsia="仿宋" w:cs="仿宋"/>
          <w:sz w:val="32"/>
          <w:szCs w:val="32"/>
          <w:shd w:val="clear" w:color="auto" w:fill="FFFFFF"/>
        </w:rPr>
        <w:t>  为规范象棋、国际象棋项目运动员技术等级管理工作，根据国家体育总局《运动员技术等级管理办法》，结合项目实际，制定本细则。</w:t>
      </w:r>
    </w:p>
    <w:p w14:paraId="720D2E6F">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第二条</w:t>
      </w:r>
      <w:r>
        <w:rPr>
          <w:rFonts w:hint="eastAsia" w:ascii="仿宋" w:hAnsi="仿宋" w:eastAsia="仿宋" w:cs="仿宋"/>
          <w:sz w:val="32"/>
          <w:szCs w:val="32"/>
          <w:shd w:val="clear" w:color="auto" w:fill="FFFFFF"/>
        </w:rPr>
        <w:t>  象棋、国际象棋项目运动员取得符合国家体育总局《运动员技术等级标准》规定的成绩，授予相应运动员技术等级称号（以下简称“等级称号”）。</w:t>
      </w:r>
    </w:p>
    <w:p w14:paraId="42AA4043">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第三条</w:t>
      </w:r>
      <w:r>
        <w:rPr>
          <w:rFonts w:hint="eastAsia" w:ascii="仿宋" w:hAnsi="仿宋" w:eastAsia="仿宋" w:cs="仿宋"/>
          <w:sz w:val="32"/>
          <w:szCs w:val="32"/>
          <w:shd w:val="clear" w:color="auto" w:fill="FFFFFF"/>
        </w:rPr>
        <w:t>  等级称号分为：国际级运动健将、运动健将、一级运动员、二级运动员、三级运动员。</w:t>
      </w:r>
    </w:p>
    <w:p w14:paraId="04A12BB8">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第四条</w:t>
      </w:r>
      <w:r>
        <w:rPr>
          <w:rFonts w:hint="eastAsia" w:ascii="仿宋" w:hAnsi="仿宋" w:eastAsia="仿宋" w:cs="仿宋"/>
          <w:sz w:val="32"/>
          <w:szCs w:val="32"/>
          <w:shd w:val="clear" w:color="auto" w:fill="FFFFFF"/>
        </w:rPr>
        <w:t>  国家体育总局棋牌运动管理中心（以下简称“棋牌中心”）负责全国范围内象棋、国际象棋项目运动员技术等级工作的管理。</w:t>
      </w:r>
    </w:p>
    <w:p w14:paraId="0A41A0A3">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第五条</w:t>
      </w:r>
      <w:r>
        <w:rPr>
          <w:rFonts w:hint="eastAsia" w:ascii="仿宋" w:hAnsi="仿宋" w:eastAsia="仿宋" w:cs="仿宋"/>
          <w:sz w:val="32"/>
          <w:szCs w:val="32"/>
          <w:shd w:val="clear" w:color="auto" w:fill="FFFFFF"/>
        </w:rPr>
        <w:t>  授予象棋、国际象棋项目等级称号，</w:t>
      </w:r>
      <w:r>
        <w:rPr>
          <w:rFonts w:hint="eastAsia" w:ascii="仿宋" w:hAnsi="仿宋" w:eastAsia="仿宋" w:cs="仿宋"/>
          <w:sz w:val="32"/>
          <w:szCs w:val="32"/>
          <w:shd w:val="clear" w:color="auto" w:fill="FFFFFF"/>
          <w:lang w:val="en-US" w:eastAsia="zh-CN"/>
        </w:rPr>
        <w:t>应当</w:t>
      </w:r>
      <w:r>
        <w:rPr>
          <w:rFonts w:hint="eastAsia" w:ascii="仿宋" w:hAnsi="仿宋" w:eastAsia="仿宋" w:cs="仿宋"/>
          <w:sz w:val="32"/>
          <w:szCs w:val="32"/>
          <w:shd w:val="clear" w:color="auto" w:fill="FFFFFF"/>
        </w:rPr>
        <w:t>遵循公开、公正、高效原则。　 </w:t>
      </w:r>
    </w:p>
    <w:p w14:paraId="4743BB1B">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p>
    <w:p w14:paraId="25E0CEA2">
      <w:pPr>
        <w:pStyle w:val="6"/>
        <w:widowControl/>
        <w:spacing w:beforeAutospacing="0" w:afterAutospacing="0" w:line="420" w:lineRule="atLeast"/>
        <w:ind w:firstLine="2891" w:firstLineChars="900"/>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shd w:val="clear" w:color="auto" w:fill="FFFFFF"/>
        </w:rPr>
        <w:t>第二章  授予主体</w:t>
      </w:r>
    </w:p>
    <w:p w14:paraId="3ED75190">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第六条</w:t>
      </w:r>
      <w:r>
        <w:rPr>
          <w:rFonts w:hint="eastAsia" w:ascii="仿宋" w:hAnsi="仿宋" w:eastAsia="仿宋" w:cs="仿宋"/>
          <w:sz w:val="32"/>
          <w:szCs w:val="32"/>
          <w:shd w:val="clear" w:color="auto" w:fill="FFFFFF"/>
        </w:rPr>
        <w:t xml:space="preserve">  等级称号管理实行分级管理、分级授予。</w:t>
      </w:r>
    </w:p>
    <w:p w14:paraId="2FA1C4BF">
      <w:pPr>
        <w:pStyle w:val="3"/>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kern w:val="0"/>
          <w:sz w:val="32"/>
          <w:szCs w:val="32"/>
          <w:shd w:val="clear" w:color="auto" w:fill="FFFFFF"/>
          <w:lang w:bidi="ar"/>
        </w:rPr>
        <w:t>第七条</w:t>
      </w:r>
      <w:r>
        <w:rPr>
          <w:rFonts w:hint="eastAsia" w:ascii="仿宋" w:hAnsi="仿宋" w:eastAsia="仿宋" w:cs="仿宋"/>
          <w:sz w:val="32"/>
          <w:szCs w:val="32"/>
          <w:shd w:val="clear" w:color="auto" w:fill="FFFFFF"/>
        </w:rPr>
        <w:t xml:space="preserve">  </w:t>
      </w:r>
      <w:r>
        <w:rPr>
          <w:rFonts w:hint="eastAsia" w:ascii="仿宋" w:hAnsi="仿宋" w:eastAsia="仿宋" w:cs="仿宋"/>
          <w:kern w:val="0"/>
          <w:sz w:val="32"/>
          <w:szCs w:val="32"/>
          <w:shd w:val="clear" w:color="auto" w:fill="FFFFFF"/>
          <w:lang w:bidi="ar"/>
        </w:rPr>
        <w:t>棋牌中心负责授予象棋、国际象棋项目国际比赛、全国比赛等级称号。</w:t>
      </w:r>
    </w:p>
    <w:p w14:paraId="43F34DFA">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第八条</w:t>
      </w:r>
      <w:r>
        <w:rPr>
          <w:rFonts w:hint="eastAsia" w:ascii="仿宋" w:hAnsi="仿宋" w:eastAsia="仿宋" w:cs="仿宋"/>
          <w:sz w:val="32"/>
          <w:szCs w:val="32"/>
          <w:shd w:val="clear" w:color="auto" w:fill="FFFFFF"/>
        </w:rPr>
        <w:t xml:space="preserve">  </w:t>
      </w:r>
      <w:r>
        <w:rPr>
          <w:rFonts w:hint="eastAsia" w:ascii="仿宋" w:hAnsi="仿宋" w:eastAsia="仿宋" w:cs="仿宋"/>
          <w:sz w:val="32"/>
          <w:szCs w:val="32"/>
          <w:lang w:bidi="ar"/>
        </w:rPr>
        <w:t>省级体育行政部门负责授予本地区省级比赛等级称号。</w:t>
      </w:r>
    </w:p>
    <w:p w14:paraId="003EDDDC">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第九条</w:t>
      </w:r>
      <w:r>
        <w:rPr>
          <w:rFonts w:hint="eastAsia" w:ascii="仿宋" w:hAnsi="仿宋" w:eastAsia="仿宋" w:cs="仿宋"/>
          <w:sz w:val="32"/>
          <w:szCs w:val="32"/>
          <w:shd w:val="clear" w:color="auto" w:fill="FFFFFF"/>
        </w:rPr>
        <w:t>  可授予等级称号比赛须按规定向国家体育总局</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lang w:val="en-US" w:eastAsia="zh-CN"/>
        </w:rPr>
        <w:t>以下简称“体育总局”）</w:t>
      </w:r>
      <w:r>
        <w:rPr>
          <w:rFonts w:hint="eastAsia" w:ascii="仿宋" w:hAnsi="仿宋" w:eastAsia="仿宋" w:cs="仿宋"/>
          <w:sz w:val="32"/>
          <w:szCs w:val="32"/>
          <w:shd w:val="clear" w:color="auto" w:fill="FFFFFF"/>
        </w:rPr>
        <w:t>备案。国际比赛根据实际参赛情况，按“一赛事一备案</w:t>
      </w:r>
      <w:r>
        <w:rPr>
          <w:rFonts w:hint="eastAsia" w:ascii="仿宋" w:hAnsi="仿宋" w:eastAsia="仿宋" w:cs="仿宋"/>
          <w:sz w:val="32"/>
          <w:szCs w:val="32"/>
          <w:shd w:val="clear" w:color="auto" w:fill="FFFFFF"/>
          <w:lang w:eastAsia="zh-CN"/>
        </w:rPr>
        <w:t>”</w:t>
      </w:r>
      <w:r>
        <w:rPr>
          <w:rFonts w:hint="eastAsia" w:ascii="仿宋" w:hAnsi="仿宋" w:eastAsia="仿宋" w:cs="仿宋"/>
          <w:sz w:val="32"/>
          <w:szCs w:val="32"/>
          <w:shd w:val="clear" w:color="auto" w:fill="FFFFFF"/>
        </w:rPr>
        <w:t>要求，由棋牌中心于比赛结束后即时向</w:t>
      </w:r>
      <w:r>
        <w:rPr>
          <w:rFonts w:hint="eastAsia" w:ascii="仿宋" w:hAnsi="仿宋" w:eastAsia="仿宋" w:cs="仿宋"/>
          <w:sz w:val="32"/>
          <w:szCs w:val="32"/>
          <w:shd w:val="clear" w:color="auto" w:fill="FFFFFF"/>
          <w:lang w:val="en-US" w:eastAsia="zh-CN"/>
        </w:rPr>
        <w:t>体育</w:t>
      </w:r>
      <w:r>
        <w:rPr>
          <w:rFonts w:hint="eastAsia" w:ascii="仿宋" w:hAnsi="仿宋" w:eastAsia="仿宋" w:cs="仿宋"/>
          <w:sz w:val="32"/>
          <w:szCs w:val="32"/>
          <w:shd w:val="clear" w:color="auto" w:fill="FFFFFF"/>
        </w:rPr>
        <w:t>总局备案。未经备案的比赛不可授予等级称号。</w:t>
      </w:r>
    </w:p>
    <w:p w14:paraId="769CFDE4">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第十条</w:t>
      </w:r>
      <w:r>
        <w:rPr>
          <w:rFonts w:hint="eastAsia" w:ascii="仿宋" w:hAnsi="仿宋" w:eastAsia="仿宋" w:cs="仿宋"/>
          <w:sz w:val="32"/>
          <w:szCs w:val="32"/>
          <w:shd w:val="clear" w:color="auto" w:fill="FFFFFF"/>
        </w:rPr>
        <w:t>  按照“谁办赛，谁负责”的原则，棋牌中心、省级体育行政部门是等级称号授予单位，对授予相应等级称号名单及相关信息的真实性、准确性负全责。</w:t>
      </w:r>
    </w:p>
    <w:p w14:paraId="1908A13B">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p>
    <w:p w14:paraId="59906BB9">
      <w:pPr>
        <w:pStyle w:val="6"/>
        <w:widowControl/>
        <w:spacing w:beforeAutospacing="0" w:afterAutospacing="0" w:line="420" w:lineRule="atLeast"/>
        <w:jc w:val="center"/>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shd w:val="clear" w:color="auto" w:fill="FFFFFF"/>
        </w:rPr>
        <w:t>第三章  授予方式</w:t>
      </w:r>
    </w:p>
    <w:p w14:paraId="04D5DB09">
      <w:pPr>
        <w:pStyle w:val="6"/>
        <w:widowControl/>
        <w:spacing w:beforeAutospacing="0" w:afterAutospacing="0" w:line="420" w:lineRule="atLeast"/>
        <w:rPr>
          <w:rFonts w:hint="eastAsia" w:ascii="仿宋" w:hAnsi="仿宋" w:eastAsia="仿宋" w:cs="仿宋"/>
          <w:sz w:val="32"/>
          <w:szCs w:val="32"/>
          <w:highlight w:val="yellow"/>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第十一条</w:t>
      </w:r>
      <w:r>
        <w:rPr>
          <w:rFonts w:hint="eastAsia" w:ascii="仿宋" w:hAnsi="仿宋" w:eastAsia="仿宋" w:cs="仿宋"/>
          <w:sz w:val="32"/>
          <w:szCs w:val="32"/>
          <w:shd w:val="clear" w:color="auto" w:fill="FFFFFF"/>
        </w:rPr>
        <w:t>  国际级运动健将、运动健将、一级运动员、二级运动员等级称号授予方式为：</w:t>
      </w:r>
    </w:p>
    <w:p w14:paraId="77093004">
      <w:pPr>
        <w:pStyle w:val="6"/>
        <w:widowControl/>
        <w:numPr>
          <w:ilvl w:val="255"/>
          <w:numId w:val="0"/>
        </w:numPr>
        <w:spacing w:beforeAutospacing="0" w:afterAutospacing="0" w:line="420" w:lineRule="atLeast"/>
        <w:ind w:firstLine="640" w:firstLineChars="200"/>
        <w:rPr>
          <w:rFonts w:hint="eastAsia" w:ascii="仿宋" w:hAnsi="仿宋" w:eastAsia="仿宋" w:cs="仿宋"/>
          <w:sz w:val="32"/>
          <w:szCs w:val="32"/>
          <w:shd w:val="clear" w:color="auto" w:fill="FFFFFF"/>
        </w:rPr>
      </w:pPr>
      <w:r>
        <w:rPr>
          <w:rFonts w:hint="eastAsia" w:ascii="楷体" w:hAnsi="楷体" w:eastAsia="楷体" w:cs="楷体"/>
          <w:sz w:val="32"/>
          <w:szCs w:val="32"/>
          <w:shd w:val="clear" w:color="auto" w:fill="FFFFFF"/>
        </w:rPr>
        <w:t>（一）公示：</w:t>
      </w:r>
      <w:r>
        <w:rPr>
          <w:rFonts w:hint="eastAsia" w:ascii="仿宋" w:hAnsi="仿宋" w:eastAsia="仿宋" w:cs="仿宋"/>
          <w:sz w:val="32"/>
          <w:szCs w:val="32"/>
          <w:shd w:val="clear" w:color="auto" w:fill="FFFFFF"/>
        </w:rPr>
        <w:t>比赛结束后30日内，象棋、国际象棋项目部负责将成绩册、秩序册上传至运动员技术等级管理系统，并对拟授予等级称号人员在“运动员技术等级系统”、</w:t>
      </w:r>
      <w:r>
        <w:rPr>
          <w:rFonts w:hint="eastAsia" w:ascii="仿宋" w:hAnsi="仿宋" w:eastAsia="仿宋" w:cs="仿宋"/>
          <w:sz w:val="32"/>
          <w:szCs w:val="32"/>
          <w:shd w:val="clear" w:color="auto" w:fill="FFFFFF"/>
          <w:lang w:val="en-US" w:eastAsia="zh-CN"/>
        </w:rPr>
        <w:t>体育</w:t>
      </w:r>
      <w:r>
        <w:rPr>
          <w:rFonts w:hint="eastAsia" w:ascii="仿宋" w:hAnsi="仿宋" w:eastAsia="仿宋" w:cs="仿宋"/>
          <w:sz w:val="32"/>
          <w:szCs w:val="32"/>
          <w:shd w:val="clear" w:color="auto" w:fill="FFFFFF"/>
        </w:rPr>
        <w:t>总局官网棋牌中心子网站进行公示，公示期5个工作日；</w:t>
      </w:r>
    </w:p>
    <w:p w14:paraId="3264D61E">
      <w:pPr>
        <w:pStyle w:val="6"/>
        <w:widowControl/>
        <w:spacing w:beforeAutospacing="0" w:afterAutospacing="0" w:line="420" w:lineRule="atLeast"/>
        <w:ind w:firstLine="640"/>
        <w:rPr>
          <w:rFonts w:hint="eastAsia" w:ascii="仿宋" w:hAnsi="仿宋" w:eastAsia="仿宋" w:cs="仿宋"/>
          <w:sz w:val="32"/>
          <w:szCs w:val="32"/>
          <w:shd w:val="clear" w:color="auto" w:fill="FFFFFF"/>
        </w:rPr>
      </w:pPr>
      <w:r>
        <w:rPr>
          <w:rFonts w:hint="eastAsia" w:ascii="仿宋" w:hAnsi="仿宋" w:eastAsia="仿宋" w:cs="仿宋"/>
          <w:sz w:val="32"/>
          <w:szCs w:val="32"/>
          <w:shd w:val="clear" w:color="auto" w:fill="FFFFFF"/>
        </w:rPr>
        <w:t>比赛结束时间以取得成绩时间为准，联赛、积分赛成绩以最后一场比赛结束时间为准，排名以公布时间为准。</w:t>
      </w:r>
    </w:p>
    <w:p w14:paraId="2C84EB22">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楷体" w:hAnsi="楷体" w:eastAsia="楷体" w:cs="楷体"/>
          <w:sz w:val="32"/>
          <w:szCs w:val="32"/>
          <w:shd w:val="clear" w:color="auto" w:fill="FFFFFF"/>
        </w:rPr>
        <w:t>（二）授予：</w:t>
      </w:r>
      <w:r>
        <w:rPr>
          <w:rFonts w:hint="eastAsia" w:ascii="仿宋" w:hAnsi="仿宋" w:eastAsia="仿宋" w:cs="仿宋"/>
          <w:sz w:val="32"/>
          <w:szCs w:val="32"/>
          <w:shd w:val="clear" w:color="auto" w:fill="FFFFFF"/>
        </w:rPr>
        <w:t>公示期满无异议的，象棋、国际象棋项目部向棋牌中心提报拟授予等级称号人员名单和相关证明材料。经</w:t>
      </w:r>
      <w:r>
        <w:rPr>
          <w:rFonts w:hint="eastAsia" w:ascii="仿宋" w:hAnsi="仿宋" w:eastAsia="仿宋" w:cs="仿宋"/>
          <w:sz w:val="32"/>
          <w:szCs w:val="32"/>
          <w:shd w:val="clear" w:color="auto" w:fill="FFFFFF"/>
          <w:lang w:val="en-US" w:eastAsia="zh-CN"/>
        </w:rPr>
        <w:t>审批</w:t>
      </w:r>
      <w:r>
        <w:rPr>
          <w:rFonts w:hint="eastAsia" w:ascii="仿宋" w:hAnsi="仿宋" w:eastAsia="仿宋" w:cs="仿宋"/>
          <w:sz w:val="32"/>
          <w:szCs w:val="32"/>
          <w:shd w:val="clear" w:color="auto" w:fill="FFFFFF"/>
        </w:rPr>
        <w:t>后，由棋牌中心以正式文件形式授予等级称号。</w:t>
      </w:r>
    </w:p>
    <w:p w14:paraId="07860865">
      <w:pPr>
        <w:pStyle w:val="6"/>
        <w:widowControl/>
        <w:spacing w:beforeAutospacing="0" w:afterAutospacing="0" w:line="420" w:lineRule="atLeast"/>
        <w:ind w:firstLine="640" w:firstLineChars="200"/>
        <w:rPr>
          <w:rFonts w:hint="eastAsia" w:ascii="仿宋" w:hAnsi="仿宋" w:eastAsia="仿宋" w:cs="仿宋"/>
          <w:sz w:val="32"/>
          <w:szCs w:val="32"/>
          <w:shd w:val="clear" w:color="auto" w:fill="FFFFFF"/>
        </w:rPr>
      </w:pPr>
      <w:r>
        <w:rPr>
          <w:rFonts w:hint="eastAsia" w:ascii="楷体" w:hAnsi="楷体" w:eastAsia="楷体" w:cs="楷体"/>
          <w:sz w:val="32"/>
          <w:szCs w:val="32"/>
          <w:shd w:val="clear" w:color="auto" w:fill="FFFFFF"/>
        </w:rPr>
        <w:t>（三）公布：</w:t>
      </w:r>
      <w:r>
        <w:rPr>
          <w:rFonts w:hint="eastAsia" w:ascii="仿宋" w:hAnsi="仿宋" w:eastAsia="仿宋" w:cs="仿宋"/>
          <w:sz w:val="32"/>
          <w:szCs w:val="32"/>
          <w:shd w:val="clear" w:color="auto" w:fill="FFFFFF"/>
        </w:rPr>
        <w:t>棋牌中心按照体育总局要求在“运动员技术等级系统”和</w:t>
      </w:r>
      <w:r>
        <w:rPr>
          <w:rFonts w:hint="eastAsia" w:ascii="仿宋" w:hAnsi="仿宋" w:eastAsia="仿宋" w:cs="仿宋"/>
          <w:sz w:val="32"/>
          <w:szCs w:val="32"/>
          <w:shd w:val="clear" w:color="auto" w:fill="FFFFFF"/>
          <w:lang w:val="en-US" w:eastAsia="zh-CN"/>
        </w:rPr>
        <w:t>体育</w:t>
      </w:r>
      <w:r>
        <w:rPr>
          <w:rFonts w:hint="eastAsia" w:ascii="仿宋" w:hAnsi="仿宋" w:eastAsia="仿宋" w:cs="仿宋"/>
          <w:sz w:val="32"/>
          <w:szCs w:val="32"/>
          <w:shd w:val="clear" w:color="auto" w:fill="FFFFFF"/>
        </w:rPr>
        <w:t>总局官网棋牌中心子网站发布授予等级称号的信息，主动接受社会监督。</w:t>
      </w:r>
    </w:p>
    <w:p w14:paraId="1017348E">
      <w:pPr>
        <w:pStyle w:val="6"/>
        <w:widowControl/>
        <w:spacing w:beforeAutospacing="0" w:afterAutospacing="0" w:line="420" w:lineRule="atLeast"/>
        <w:ind w:firstLine="640" w:firstLineChars="200"/>
        <w:rPr>
          <w:rFonts w:hint="eastAsia" w:ascii="仿宋" w:hAnsi="仿宋" w:eastAsia="仿宋" w:cs="仿宋"/>
          <w:sz w:val="32"/>
          <w:szCs w:val="32"/>
          <w:shd w:val="clear" w:color="auto" w:fill="FFFFFF"/>
        </w:rPr>
      </w:pPr>
      <w:r>
        <w:rPr>
          <w:rFonts w:hint="eastAsia" w:ascii="黑体" w:hAnsi="黑体" w:eastAsia="黑体" w:cs="黑体"/>
          <w:sz w:val="32"/>
          <w:szCs w:val="32"/>
          <w:shd w:val="clear" w:color="auto" w:fill="FFFFFF"/>
        </w:rPr>
        <w:t>第十二条</w:t>
      </w:r>
      <w:r>
        <w:rPr>
          <w:rFonts w:hint="eastAsia" w:ascii="仿宋" w:hAnsi="仿宋" w:eastAsia="仿宋" w:cs="仿宋"/>
          <w:sz w:val="32"/>
          <w:szCs w:val="32"/>
          <w:shd w:val="clear" w:color="auto" w:fill="FFFFFF"/>
        </w:rPr>
        <w:t xml:space="preserve"> 拟授予二级运动员等级称号（含）以上人员进入公示环节后需要调整的，或已授予需撤销的，须由棋牌中心以正式文件</w:t>
      </w:r>
      <w:r>
        <w:rPr>
          <w:rFonts w:hint="eastAsia" w:ascii="仿宋" w:hAnsi="仿宋" w:eastAsia="仿宋" w:cs="仿宋"/>
          <w:sz w:val="32"/>
          <w:szCs w:val="32"/>
          <w:shd w:val="clear" w:color="auto" w:fill="FFFFFF"/>
          <w:lang w:val="en-US" w:eastAsia="zh-CN"/>
        </w:rPr>
        <w:t>形式</w:t>
      </w:r>
      <w:r>
        <w:rPr>
          <w:rFonts w:hint="eastAsia" w:ascii="仿宋" w:hAnsi="仿宋" w:eastAsia="仿宋" w:cs="仿宋"/>
          <w:sz w:val="32"/>
          <w:szCs w:val="32"/>
          <w:shd w:val="clear" w:color="auto" w:fill="FFFFFF"/>
        </w:rPr>
        <w:t>向体育总局</w:t>
      </w:r>
      <w:r>
        <w:rPr>
          <w:rFonts w:hint="eastAsia" w:ascii="仿宋" w:hAnsi="仿宋" w:eastAsia="仿宋" w:cs="仿宋"/>
          <w:sz w:val="32"/>
          <w:szCs w:val="32"/>
          <w:shd w:val="clear" w:color="auto" w:fill="FFFFFF"/>
          <w:lang w:val="en-US" w:eastAsia="zh-CN"/>
        </w:rPr>
        <w:t>提出</w:t>
      </w:r>
      <w:r>
        <w:rPr>
          <w:rFonts w:hint="eastAsia" w:ascii="仿宋" w:hAnsi="仿宋" w:eastAsia="仿宋" w:cs="仿宋"/>
          <w:sz w:val="32"/>
          <w:szCs w:val="32"/>
          <w:shd w:val="clear" w:color="auto" w:fill="FFFFFF"/>
        </w:rPr>
        <w:t>申请。</w:t>
      </w:r>
    </w:p>
    <w:p w14:paraId="01D8CA53">
      <w:pPr>
        <w:pStyle w:val="6"/>
        <w:widowControl/>
        <w:spacing w:beforeAutospacing="0" w:afterAutospacing="0" w:line="420" w:lineRule="atLeast"/>
        <w:ind w:firstLine="640" w:firstLineChars="200"/>
        <w:rPr>
          <w:rFonts w:hint="eastAsia" w:ascii="仿宋" w:hAnsi="仿宋" w:eastAsia="仿宋" w:cs="仿宋"/>
          <w:sz w:val="32"/>
          <w:szCs w:val="32"/>
          <w:shd w:val="clear" w:color="auto" w:fill="FFFFFF"/>
        </w:rPr>
      </w:pPr>
      <w:r>
        <w:rPr>
          <w:rFonts w:hint="eastAsia" w:ascii="黑体" w:hAnsi="黑体" w:eastAsia="黑体" w:cs="黑体"/>
          <w:sz w:val="32"/>
          <w:szCs w:val="32"/>
          <w:shd w:val="clear" w:color="auto" w:fill="FFFFFF"/>
        </w:rPr>
        <w:t>第十三条</w:t>
      </w:r>
      <w:r>
        <w:rPr>
          <w:rFonts w:hint="eastAsia" w:ascii="仿宋" w:hAnsi="仿宋" w:eastAsia="仿宋" w:cs="仿宋"/>
          <w:sz w:val="32"/>
          <w:szCs w:val="32"/>
          <w:shd w:val="clear" w:color="auto" w:fill="FFFFFF"/>
        </w:rPr>
        <w:t xml:space="preserve"> 三级运动员等级称号授予方式依据省级体育行政部门</w:t>
      </w:r>
      <w:r>
        <w:rPr>
          <w:rFonts w:hint="eastAsia" w:ascii="仿宋" w:hAnsi="仿宋" w:eastAsia="仿宋" w:cs="仿宋"/>
          <w:sz w:val="32"/>
          <w:szCs w:val="32"/>
          <w:shd w:val="clear" w:color="auto" w:fill="FFFFFF"/>
          <w:lang w:val="en-US" w:eastAsia="zh-CN"/>
        </w:rPr>
        <w:t>制定的运动员</w:t>
      </w:r>
      <w:r>
        <w:rPr>
          <w:rFonts w:hint="eastAsia" w:ascii="仿宋" w:hAnsi="仿宋" w:eastAsia="仿宋" w:cs="仿宋"/>
          <w:sz w:val="32"/>
          <w:szCs w:val="32"/>
          <w:shd w:val="clear" w:color="auto" w:fill="FFFFFF"/>
        </w:rPr>
        <w:t>技术等级管理办法实施细则执行。</w:t>
      </w:r>
    </w:p>
    <w:p w14:paraId="3E583A50">
      <w:pPr>
        <w:pStyle w:val="6"/>
        <w:widowControl/>
        <w:spacing w:beforeAutospacing="0" w:afterAutospacing="0" w:line="420" w:lineRule="atLeast"/>
        <w:ind w:firstLine="640" w:firstLineChars="200"/>
        <w:rPr>
          <w:rFonts w:hint="eastAsia" w:ascii="仿宋" w:hAnsi="仿宋" w:eastAsia="仿宋" w:cs="仿宋"/>
          <w:sz w:val="32"/>
          <w:szCs w:val="32"/>
        </w:rPr>
      </w:pPr>
      <w:r>
        <w:rPr>
          <w:rFonts w:hint="eastAsia" w:ascii="黑体" w:hAnsi="黑体" w:eastAsia="黑体" w:cs="黑体"/>
          <w:sz w:val="32"/>
          <w:szCs w:val="32"/>
          <w:shd w:val="clear" w:color="auto" w:fill="FFFFFF"/>
        </w:rPr>
        <w:t>第十四条</w:t>
      </w:r>
      <w:r>
        <w:rPr>
          <w:rFonts w:hint="eastAsia" w:ascii="仿宋" w:hAnsi="仿宋" w:eastAsia="仿宋" w:cs="仿宋"/>
          <w:sz w:val="32"/>
          <w:szCs w:val="32"/>
          <w:shd w:val="clear" w:color="auto" w:fill="FFFFFF"/>
        </w:rPr>
        <w:t>  香港、澳门特区和台湾地区运动员参加全国比赛、省级比赛可以授予等级称号。向香港、澳门特区体育总会注册运动员授予等级称号前，应提前征得相关总会书面同意。</w:t>
      </w:r>
    </w:p>
    <w:p w14:paraId="25A1CDC4">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第十五条</w:t>
      </w:r>
      <w:r>
        <w:rPr>
          <w:rFonts w:hint="eastAsia" w:ascii="仿宋" w:hAnsi="仿宋" w:eastAsia="仿宋" w:cs="仿宋"/>
          <w:sz w:val="32"/>
          <w:szCs w:val="32"/>
          <w:shd w:val="clear" w:color="auto" w:fill="FFFFFF"/>
        </w:rPr>
        <w:t>  以测试、推荐、邀请或其他非正式身份参加比赛的，不得授予等级称号。</w:t>
      </w:r>
    </w:p>
    <w:p w14:paraId="017793C7">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第十六条</w:t>
      </w:r>
      <w:r>
        <w:rPr>
          <w:rFonts w:hint="eastAsia" w:ascii="仿宋" w:hAnsi="仿宋" w:eastAsia="仿宋" w:cs="仿宋"/>
          <w:sz w:val="32"/>
          <w:szCs w:val="32"/>
          <w:shd w:val="clear" w:color="auto" w:fill="FFFFFF"/>
        </w:rPr>
        <w:t>  等级证书为电子证书，由体育总局统一设计、编号，在“运动员技术等级系统”公布，自行下载打印。</w:t>
      </w:r>
    </w:p>
    <w:p w14:paraId="1FB4AE7B">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第十七条</w:t>
      </w:r>
      <w:r>
        <w:rPr>
          <w:rFonts w:hint="eastAsia" w:ascii="仿宋" w:hAnsi="仿宋" w:eastAsia="仿宋" w:cs="仿宋"/>
          <w:sz w:val="32"/>
          <w:szCs w:val="32"/>
          <w:shd w:val="clear" w:color="auto" w:fill="FFFFFF"/>
        </w:rPr>
        <w:t>  等级称号授予过程中，任何单位和个人不得收取任何费用。</w:t>
      </w:r>
    </w:p>
    <w:p w14:paraId="0ADB8A4B">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p>
    <w:p w14:paraId="6F3F5163">
      <w:pPr>
        <w:pStyle w:val="6"/>
        <w:widowControl/>
        <w:spacing w:beforeAutospacing="0" w:afterAutospacing="0" w:line="420" w:lineRule="atLeast"/>
        <w:jc w:val="center"/>
        <w:rPr>
          <w:rFonts w:hint="eastAsia" w:ascii="仿宋" w:hAnsi="仿宋" w:eastAsia="仿宋" w:cs="仿宋"/>
          <w:b/>
          <w:bCs/>
          <w:sz w:val="32"/>
          <w:szCs w:val="32"/>
        </w:rPr>
      </w:pPr>
      <w:r>
        <w:rPr>
          <w:rFonts w:hint="eastAsia" w:ascii="仿宋" w:hAnsi="仿宋" w:eastAsia="仿宋" w:cs="仿宋"/>
          <w:b/>
          <w:bCs/>
          <w:sz w:val="32"/>
          <w:szCs w:val="32"/>
          <w:shd w:val="clear" w:color="auto" w:fill="FFFFFF"/>
        </w:rPr>
        <w:t>第四章  监督检查</w:t>
      </w:r>
    </w:p>
    <w:p w14:paraId="6AB3260F">
      <w:pPr>
        <w:widowControl/>
        <w:ind w:firstLine="640" w:firstLineChars="200"/>
        <w:jc w:val="left"/>
        <w:rPr>
          <w:rFonts w:hint="eastAsia" w:ascii="仿宋" w:hAnsi="仿宋" w:eastAsia="仿宋" w:cs="仿宋"/>
          <w:kern w:val="0"/>
          <w:sz w:val="32"/>
          <w:szCs w:val="32"/>
          <w:lang w:bidi="ar"/>
        </w:rPr>
      </w:pPr>
      <w:r>
        <w:rPr>
          <w:rFonts w:hint="eastAsia" w:ascii="黑体" w:hAnsi="黑体" w:eastAsia="黑体" w:cs="黑体"/>
          <w:sz w:val="32"/>
          <w:szCs w:val="32"/>
          <w:shd w:val="clear" w:color="auto" w:fill="FFFFFF"/>
        </w:rPr>
        <w:t>第十八条</w:t>
      </w:r>
      <w:r>
        <w:rPr>
          <w:rFonts w:hint="eastAsia" w:ascii="仿宋" w:hAnsi="仿宋" w:eastAsia="仿宋" w:cs="仿宋"/>
          <w:sz w:val="32"/>
          <w:szCs w:val="32"/>
          <w:shd w:val="clear" w:color="auto" w:fill="FFFFFF"/>
        </w:rPr>
        <w:t xml:space="preserve">  </w:t>
      </w:r>
      <w:r>
        <w:rPr>
          <w:rFonts w:hint="eastAsia" w:ascii="仿宋" w:hAnsi="仿宋" w:eastAsia="仿宋" w:cs="仿宋"/>
          <w:kern w:val="0"/>
          <w:sz w:val="32"/>
          <w:szCs w:val="32"/>
          <w:lang w:bidi="ar"/>
        </w:rPr>
        <w:t xml:space="preserve"> 等级称号监管实施项目监管、属地监管。</w:t>
      </w:r>
      <w:r>
        <w:rPr>
          <w:rFonts w:hint="eastAsia" w:ascii="仿宋" w:hAnsi="仿宋" w:eastAsia="仿宋" w:cs="仿宋"/>
          <w:sz w:val="32"/>
          <w:szCs w:val="32"/>
          <w:shd w:val="clear" w:color="auto" w:fill="FFFFFF"/>
        </w:rPr>
        <w:t>棋牌中心对全国范围内象棋、国际象棋项目运动员技术等级工作进行监督检查，包括但不限于委派赛事监督、公开举报方式、开展教育培训、定期通报相关情况等。</w:t>
      </w:r>
      <w:r>
        <w:rPr>
          <w:rFonts w:hint="eastAsia" w:ascii="仿宋" w:hAnsi="仿宋" w:eastAsia="仿宋" w:cs="仿宋"/>
          <w:kern w:val="0"/>
          <w:sz w:val="32"/>
          <w:szCs w:val="32"/>
          <w:lang w:bidi="ar"/>
        </w:rPr>
        <w:t xml:space="preserve">省级体育行政部门对本地区运动员技术等级工作进行监督检查。 </w:t>
      </w:r>
    </w:p>
    <w:p w14:paraId="50C137A5">
      <w:pPr>
        <w:widowControl/>
        <w:ind w:firstLine="640" w:firstLineChars="200"/>
        <w:jc w:val="left"/>
        <w:rPr>
          <w:rFonts w:hint="eastAsia" w:ascii="仿宋" w:hAnsi="仿宋" w:eastAsia="仿宋" w:cs="仿宋"/>
          <w:sz w:val="32"/>
          <w:szCs w:val="32"/>
          <w:shd w:val="clear" w:color="auto" w:fill="FFFFFF"/>
        </w:rPr>
      </w:pPr>
      <w:r>
        <w:rPr>
          <w:rFonts w:hint="eastAsia" w:ascii="黑体" w:hAnsi="黑体" w:eastAsia="黑体" w:cs="黑体"/>
          <w:sz w:val="32"/>
          <w:szCs w:val="32"/>
          <w:shd w:val="clear" w:color="auto" w:fill="FFFFFF"/>
        </w:rPr>
        <w:t>第十九条</w:t>
      </w:r>
      <w:r>
        <w:rPr>
          <w:rFonts w:hint="eastAsia" w:ascii="仿宋" w:hAnsi="仿宋" w:eastAsia="仿宋" w:cs="仿宋"/>
          <w:sz w:val="32"/>
          <w:szCs w:val="32"/>
          <w:shd w:val="clear" w:color="auto" w:fill="FFFFFF"/>
        </w:rPr>
        <w:t>  任何单位和个人发现有关活动违反《运动员技术等级管理办法》和本细则的，有权举报。以单位名义反映问题的须加盖单位公章；以个人名义反映问题的，须署名及联系方式。举报</w:t>
      </w:r>
      <w:r>
        <w:rPr>
          <w:rFonts w:hint="eastAsia" w:ascii="仿宋" w:hAnsi="仿宋" w:eastAsia="仿宋" w:cs="仿宋"/>
          <w:sz w:val="32"/>
          <w:szCs w:val="32"/>
          <w:shd w:val="clear" w:color="auto" w:fill="FFFFFF"/>
          <w:lang w:val="en-US" w:eastAsia="zh-CN"/>
        </w:rPr>
        <w:t>电话：010-87559209；通信地址：北京市东城区天坛东路80号；电子</w:t>
      </w:r>
      <w:r>
        <w:rPr>
          <w:rFonts w:hint="eastAsia" w:ascii="仿宋" w:hAnsi="仿宋" w:eastAsia="仿宋" w:cs="仿宋"/>
          <w:sz w:val="32"/>
          <w:szCs w:val="32"/>
          <w:shd w:val="clear" w:color="auto" w:fill="FFFFFF"/>
        </w:rPr>
        <w:t>邮箱：qpzx_jsdj@163.com。</w:t>
      </w:r>
    </w:p>
    <w:p w14:paraId="33ECC1ED">
      <w:pPr>
        <w:ind w:firstLine="640" w:firstLineChars="200"/>
        <w:rPr>
          <w:rFonts w:hint="eastAsia" w:ascii="仿宋" w:hAnsi="仿宋" w:eastAsia="仿宋" w:cs="仿宋"/>
          <w:sz w:val="32"/>
          <w:szCs w:val="32"/>
        </w:rPr>
      </w:pPr>
      <w:r>
        <w:rPr>
          <w:rFonts w:hint="eastAsia" w:ascii="黑体" w:hAnsi="黑体" w:eastAsia="黑体" w:cs="黑体"/>
          <w:sz w:val="32"/>
          <w:szCs w:val="32"/>
          <w:shd w:val="clear" w:color="auto" w:fill="FFFFFF"/>
        </w:rPr>
        <w:t>第二十条</w:t>
      </w:r>
      <w:r>
        <w:rPr>
          <w:rFonts w:hint="eastAsia" w:ascii="仿宋" w:hAnsi="仿宋" w:eastAsia="仿宋" w:cs="仿宋"/>
          <w:sz w:val="32"/>
          <w:szCs w:val="32"/>
          <w:shd w:val="clear" w:color="auto" w:fill="FFFFFF"/>
        </w:rPr>
        <w:t>  授予等级称号的全国比赛如因竞赛规程、竞赛组</w:t>
      </w:r>
      <w:r>
        <w:rPr>
          <w:rFonts w:hint="eastAsia" w:ascii="仿宋" w:hAnsi="仿宋" w:eastAsia="仿宋" w:cs="仿宋"/>
          <w:sz w:val="32"/>
          <w:szCs w:val="32"/>
          <w:highlight w:val="none"/>
          <w:shd w:val="clear" w:color="auto" w:fill="FFFFFF"/>
        </w:rPr>
        <w:t>织、参赛资格、赛风赛纪等原因造成等级称号授予出现问题的，</w:t>
      </w:r>
      <w:r>
        <w:rPr>
          <w:rFonts w:hint="eastAsia" w:ascii="仿宋" w:hAnsi="仿宋" w:eastAsia="仿宋" w:cs="仿宋"/>
          <w:kern w:val="0"/>
          <w:sz w:val="32"/>
          <w:szCs w:val="32"/>
          <w:highlight w:val="none"/>
          <w:lang w:bidi="ar"/>
        </w:rPr>
        <w:t>按照《运动员技术等级管理办法》相关条款进行相应处理。</w:t>
      </w:r>
    </w:p>
    <w:p w14:paraId="40EC0E78">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p>
    <w:p w14:paraId="6A94640A">
      <w:pPr>
        <w:pStyle w:val="6"/>
        <w:widowControl/>
        <w:spacing w:beforeAutospacing="0" w:afterAutospacing="0" w:line="420" w:lineRule="atLeast"/>
        <w:jc w:val="center"/>
        <w:rPr>
          <w:rFonts w:hint="eastAsia" w:ascii="仿宋" w:hAnsi="仿宋" w:eastAsia="仿宋" w:cs="仿宋"/>
          <w:b/>
          <w:bCs/>
          <w:sz w:val="32"/>
          <w:szCs w:val="32"/>
        </w:rPr>
      </w:pPr>
      <w:r>
        <w:rPr>
          <w:rFonts w:hint="eastAsia" w:ascii="仿宋" w:hAnsi="仿宋" w:eastAsia="仿宋" w:cs="仿宋"/>
          <w:b/>
          <w:bCs/>
          <w:sz w:val="32"/>
          <w:szCs w:val="32"/>
          <w:shd w:val="clear" w:color="auto" w:fill="FFFFFF"/>
        </w:rPr>
        <w:t>第五章  责任追究</w:t>
      </w:r>
    </w:p>
    <w:p w14:paraId="1F1A9A30">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第二十一条</w:t>
      </w:r>
      <w:r>
        <w:rPr>
          <w:rFonts w:hint="eastAsia" w:ascii="仿宋" w:hAnsi="仿宋" w:eastAsia="仿宋" w:cs="仿宋"/>
          <w:sz w:val="32"/>
          <w:szCs w:val="32"/>
          <w:shd w:val="clear" w:color="auto" w:fill="FFFFFF"/>
        </w:rPr>
        <w:t>  运动员技术等级授予工作严格按照国家体育总局《运动员技术等级管理办法》和本细则执行。出现任何违规违法行为将按照《运动员技术等级管理办法》相关条款追究相应方责任并进行相应处理。</w:t>
      </w:r>
    </w:p>
    <w:p w14:paraId="216BD910">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p>
    <w:p w14:paraId="76C0A1C8">
      <w:pPr>
        <w:pStyle w:val="6"/>
        <w:widowControl/>
        <w:spacing w:beforeAutospacing="0" w:afterAutospacing="0" w:line="420" w:lineRule="atLeast"/>
        <w:jc w:val="center"/>
        <w:rPr>
          <w:rFonts w:hint="eastAsia" w:ascii="仿宋" w:hAnsi="仿宋" w:eastAsia="仿宋" w:cs="仿宋"/>
          <w:b/>
          <w:bCs/>
          <w:sz w:val="32"/>
          <w:szCs w:val="32"/>
        </w:rPr>
      </w:pPr>
      <w:r>
        <w:rPr>
          <w:rFonts w:hint="eastAsia" w:ascii="仿宋" w:hAnsi="仿宋" w:eastAsia="仿宋" w:cs="仿宋"/>
          <w:b/>
          <w:bCs/>
          <w:sz w:val="32"/>
          <w:szCs w:val="32"/>
          <w:shd w:val="clear" w:color="auto" w:fill="FFFFFF"/>
        </w:rPr>
        <w:t>第六章  附则</w:t>
      </w:r>
    </w:p>
    <w:p w14:paraId="5AAF320F">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第二十二条</w:t>
      </w:r>
      <w:r>
        <w:rPr>
          <w:rFonts w:hint="eastAsia" w:ascii="仿宋" w:hAnsi="仿宋" w:eastAsia="仿宋" w:cs="仿宋"/>
          <w:sz w:val="32"/>
          <w:szCs w:val="32"/>
          <w:shd w:val="clear" w:color="auto" w:fill="FFFFFF"/>
        </w:rPr>
        <w:t>  本细则不适用于外国运动员，也不适用于参赛代表单位注册在外国的运动员。</w:t>
      </w:r>
    </w:p>
    <w:p w14:paraId="779A7628">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第二十三条</w:t>
      </w:r>
      <w:r>
        <w:rPr>
          <w:rFonts w:hint="eastAsia" w:ascii="仿宋" w:hAnsi="仿宋" w:eastAsia="仿宋" w:cs="仿宋"/>
          <w:sz w:val="32"/>
          <w:szCs w:val="32"/>
          <w:shd w:val="clear" w:color="auto" w:fill="FFFFFF"/>
        </w:rPr>
        <w:t>  本细则自2025年1月1日起施行。</w:t>
      </w:r>
    </w:p>
    <w:p w14:paraId="1E9456BC">
      <w:pPr>
        <w:pStyle w:val="6"/>
        <w:widowControl/>
        <w:spacing w:beforeAutospacing="0" w:afterAutospacing="0" w:line="420" w:lineRule="atLeast"/>
        <w:rPr>
          <w:rFonts w:hint="eastAsia" w:ascii="仿宋" w:hAnsi="仿宋" w:eastAsia="仿宋" w:cs="仿宋"/>
          <w:sz w:val="32"/>
          <w:szCs w:val="32"/>
        </w:rPr>
      </w:pPr>
      <w:r>
        <w:rPr>
          <w:rFonts w:hint="eastAsia" w:ascii="仿宋" w:hAnsi="仿宋" w:eastAsia="仿宋" w:cs="仿宋"/>
          <w:sz w:val="32"/>
          <w:szCs w:val="32"/>
          <w:shd w:val="clear" w:color="auto" w:fill="FFFFFF"/>
        </w:rPr>
        <w:t>　　</w:t>
      </w:r>
      <w:r>
        <w:rPr>
          <w:rFonts w:hint="eastAsia" w:ascii="黑体" w:hAnsi="黑体" w:eastAsia="黑体" w:cs="黑体"/>
          <w:sz w:val="32"/>
          <w:szCs w:val="32"/>
          <w:shd w:val="clear" w:color="auto" w:fill="FFFFFF"/>
        </w:rPr>
        <w:t>第二十四条</w:t>
      </w:r>
      <w:r>
        <w:rPr>
          <w:rFonts w:hint="eastAsia" w:ascii="仿宋" w:hAnsi="仿宋" w:eastAsia="仿宋" w:cs="仿宋"/>
          <w:sz w:val="32"/>
          <w:szCs w:val="32"/>
          <w:shd w:val="clear" w:color="auto" w:fill="FFFFFF"/>
        </w:rPr>
        <w:t>  本细则的解释权属国家体育总局棋牌运动管理中心。</w:t>
      </w:r>
    </w:p>
    <w:p w14:paraId="2C3DD26E">
      <w:pPr>
        <w:widowControl/>
        <w:shd w:val="clear" w:color="auto" w:fill="FFFFFF"/>
        <w:jc w:val="left"/>
        <w:rPr>
          <w:rFonts w:hint="eastAsia" w:ascii="仿宋" w:hAnsi="仿宋" w:eastAsia="仿宋" w:cs="仿宋"/>
          <w:sz w:val="32"/>
          <w:szCs w:val="32"/>
        </w:rPr>
      </w:pPr>
      <w:r>
        <w:rPr>
          <w:rFonts w:hint="eastAsia" w:ascii="仿宋" w:hAnsi="仿宋" w:eastAsia="仿宋" w:cs="仿宋"/>
          <w:kern w:val="0"/>
          <w:sz w:val="32"/>
          <w:szCs w:val="32"/>
          <w:shd w:val="clear" w:color="auto" w:fill="FFFFFF"/>
          <w:lang w:bidi="ar"/>
        </w:rPr>
        <w:t> </w:t>
      </w:r>
    </w:p>
    <w:p w14:paraId="7FAAEF64">
      <w:pPr>
        <w:rPr>
          <w:rFonts w:hint="eastAsia"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Songti SC">
    <w:panose1 w:val="02010800040101010101"/>
    <w:charset w:val="86"/>
    <w:family w:val="auto"/>
    <w:pitch w:val="default"/>
    <w:sig w:usb0="00000001" w:usb1="080F0000" w:usb2="00000000" w:usb3="00000000" w:csb0="00040000" w:csb1="00000000"/>
  </w:font>
  <w:font w:name="方正公文小标宋">
    <w:panose1 w:val="02000500000000000000"/>
    <w:charset w:val="86"/>
    <w:family w:val="auto"/>
    <w:pitch w:val="default"/>
    <w:sig w:usb0="A00002BF" w:usb1="38CF7CFA" w:usb2="00000016" w:usb3="00000000" w:csb0="00040001" w:csb1="00000000"/>
    <w:embedRegular r:id="rId1" w:fontKey="{BE4EF1E1-6ADA-4911-839B-5267E93343C3}"/>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embedRegular r:id="rId2" w:fontKey="{42290722-996D-3897-839B-52672A24ED9B}"/>
  </w:font>
  <w:font w:name="楷体">
    <w:altName w:val="汉仪楷体KW"/>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TrueTypeFonts/>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A1ZGI1NjdhMWZhOWRmMzgwOWM5ODY0YTg4NzUwNzkifQ=="/>
  </w:docVars>
  <w:rsids>
    <w:rsidRoot w:val="00B45594"/>
    <w:rsid w:val="000504C4"/>
    <w:rsid w:val="00522ADC"/>
    <w:rsid w:val="00761B3D"/>
    <w:rsid w:val="00B45594"/>
    <w:rsid w:val="058A7260"/>
    <w:rsid w:val="08DB687C"/>
    <w:rsid w:val="0C01472B"/>
    <w:rsid w:val="180E322C"/>
    <w:rsid w:val="1DAFBA1A"/>
    <w:rsid w:val="1FDEA1C7"/>
    <w:rsid w:val="230B53BD"/>
    <w:rsid w:val="29592119"/>
    <w:rsid w:val="2C2D6223"/>
    <w:rsid w:val="30A90405"/>
    <w:rsid w:val="37CE559C"/>
    <w:rsid w:val="3FFF9014"/>
    <w:rsid w:val="413012DC"/>
    <w:rsid w:val="448C4C97"/>
    <w:rsid w:val="547A0C77"/>
    <w:rsid w:val="548C4FC0"/>
    <w:rsid w:val="59AF4C5B"/>
    <w:rsid w:val="66FEE638"/>
    <w:rsid w:val="6B1F033C"/>
    <w:rsid w:val="6BBB4A26"/>
    <w:rsid w:val="70686880"/>
    <w:rsid w:val="7DBFAE22"/>
    <w:rsid w:val="7FFDCA77"/>
    <w:rsid w:val="D7BE510F"/>
    <w:rsid w:val="D9770B06"/>
    <w:rsid w:val="DD7CBBB9"/>
    <w:rsid w:val="DDDFA5B7"/>
    <w:rsid w:val="E1AF891D"/>
    <w:rsid w:val="F6CFFDC5"/>
    <w:rsid w:val="FBD159EC"/>
    <w:rsid w:val="FCFBBD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4"/>
    <w:qFormat/>
    <w:uiPriority w:val="0"/>
    <w:pPr>
      <w:jc w:val="left"/>
    </w:pPr>
  </w:style>
  <w:style w:type="paragraph" w:styleId="4">
    <w:name w:val="footer"/>
    <w:basedOn w:val="1"/>
    <w:link w:val="12"/>
    <w:qFormat/>
    <w:uiPriority w:val="0"/>
    <w:pPr>
      <w:tabs>
        <w:tab w:val="center" w:pos="4153"/>
        <w:tab w:val="right" w:pos="8306"/>
      </w:tabs>
      <w:snapToGrid w:val="0"/>
      <w:jc w:val="left"/>
    </w:pPr>
    <w:rPr>
      <w:sz w:val="18"/>
      <w:szCs w:val="18"/>
    </w:rPr>
  </w:style>
  <w:style w:type="paragraph" w:styleId="5">
    <w:name w:val="header"/>
    <w:basedOn w:val="1"/>
    <w:link w:val="11"/>
    <w:qFormat/>
    <w:uiPriority w:val="0"/>
    <w:pP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paragraph" w:styleId="7">
    <w:name w:val="annotation subject"/>
    <w:basedOn w:val="3"/>
    <w:next w:val="3"/>
    <w:link w:val="15"/>
    <w:qFormat/>
    <w:uiPriority w:val="0"/>
    <w:rPr>
      <w:b/>
      <w:bCs/>
    </w:rPr>
  </w:style>
  <w:style w:type="character" w:styleId="10">
    <w:name w:val="annotation reference"/>
    <w:basedOn w:val="9"/>
    <w:qFormat/>
    <w:uiPriority w:val="0"/>
    <w:rPr>
      <w:sz w:val="21"/>
      <w:szCs w:val="21"/>
    </w:rPr>
  </w:style>
  <w:style w:type="character" w:customStyle="1" w:styleId="11">
    <w:name w:val="页眉 字符"/>
    <w:basedOn w:val="9"/>
    <w:link w:val="5"/>
    <w:qFormat/>
    <w:uiPriority w:val="0"/>
    <w:rPr>
      <w:rFonts w:asciiTheme="minorHAnsi" w:hAnsiTheme="minorHAnsi" w:eastAsiaTheme="minorEastAsia" w:cstheme="minorBidi"/>
      <w:kern w:val="2"/>
      <w:sz w:val="18"/>
      <w:szCs w:val="18"/>
    </w:rPr>
  </w:style>
  <w:style w:type="character" w:customStyle="1" w:styleId="12">
    <w:name w:val="页脚 字符"/>
    <w:basedOn w:val="9"/>
    <w:link w:val="4"/>
    <w:qFormat/>
    <w:uiPriority w:val="0"/>
    <w:rPr>
      <w:rFonts w:asciiTheme="minorHAnsi" w:hAnsiTheme="minorHAnsi" w:eastAsiaTheme="minorEastAsia" w:cstheme="minorBidi"/>
      <w:kern w:val="2"/>
      <w:sz w:val="18"/>
      <w:szCs w:val="18"/>
    </w:rPr>
  </w:style>
  <w:style w:type="paragraph" w:customStyle="1" w:styleId="13">
    <w:name w:val="Revision"/>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4">
    <w:name w:val="批注文字 字符"/>
    <w:basedOn w:val="9"/>
    <w:link w:val="3"/>
    <w:qFormat/>
    <w:uiPriority w:val="0"/>
    <w:rPr>
      <w:rFonts w:asciiTheme="minorHAnsi" w:hAnsiTheme="minorHAnsi" w:eastAsiaTheme="minorEastAsia" w:cstheme="minorBidi"/>
      <w:kern w:val="2"/>
      <w:sz w:val="21"/>
      <w:szCs w:val="24"/>
    </w:rPr>
  </w:style>
  <w:style w:type="character" w:customStyle="1" w:styleId="15">
    <w:name w:val="批注主题 字符"/>
    <w:basedOn w:val="14"/>
    <w:link w:val="7"/>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1689</Words>
  <Characters>1721</Characters>
  <Lines>14</Lines>
  <Paragraphs>3</Paragraphs>
  <TotalTime>31</TotalTime>
  <ScaleCrop>false</ScaleCrop>
  <LinksUpToDate>false</LinksUpToDate>
  <CharactersWithSpaces>1837</CharactersWithSpaces>
  <Application>WPS Office_6.13.2.8918_F1E327BC-269C-435d-A152-05C5408002CA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2024-12-02T18:15:00Z</dcterms:created>
  <dc:creator>dell</dc:creator>
  <cp:lastModifiedBy>鸩。</cp:lastModifiedBy>
  <cp:lastPrinted>2024-12-04T17:47:00Z</cp:lastPrinted>
  <dcterms:modified xsi:type="dcterms:W3CDTF">2024-12-06T14:36:51Z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2052-6.13.2.8918</vt:lpwstr>
  </property>
  <property fmtid="{D5CDD505-2E9C-101B-9397-08002B2CF9AE}" pid="3" name="ICV">
    <vt:lpwstr>980D6FEDADC2D6988EC84F67FF169674_43</vt:lpwstr>
  </property>
</Properties>
</file>