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5AF88">
      <w:pPr>
        <w:spacing w:line="440" w:lineRule="exact"/>
        <w:jc w:val="both"/>
        <w:rPr>
          <w:rFonts w:hint="eastAsia" w:ascii="宋体" w:hAnsi="宋体"/>
          <w:b/>
          <w:bCs/>
          <w:color w:val="auto"/>
          <w:sz w:val="32"/>
          <w:szCs w:val="36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6"/>
          <w:lang w:val="en-US" w:eastAsia="zh-CN"/>
        </w:rPr>
        <w:t>附件1：</w:t>
      </w:r>
      <w:r>
        <w:rPr>
          <w:rFonts w:hint="eastAsia" w:ascii="宋体" w:hAnsi="宋体"/>
          <w:b/>
          <w:bCs/>
          <w:color w:val="auto"/>
          <w:sz w:val="32"/>
          <w:szCs w:val="36"/>
        </w:rPr>
        <w:t xml:space="preserve"> </w:t>
      </w:r>
    </w:p>
    <w:p w14:paraId="28C8B2B0">
      <w:pPr>
        <w:jc w:val="center"/>
        <w:rPr>
          <w:rFonts w:hint="eastAsia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/>
          <w:b/>
          <w:bCs/>
          <w:color w:val="auto"/>
          <w:sz w:val="36"/>
          <w:szCs w:val="36"/>
          <w:lang w:val="en-US" w:eastAsia="zh-CN"/>
        </w:rPr>
        <w:t>赛事补充说明及有关要求</w:t>
      </w:r>
    </w:p>
    <w:p w14:paraId="0638A3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一、赛事说明</w:t>
      </w:r>
    </w:p>
    <w:p w14:paraId="6D717D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0" w:firstLineChars="200"/>
        <w:rPr>
          <w:rFonts w:hint="default" w:ascii="宋体" w:hAnsi="宋体" w:cs="宋体" w:eastAsiaTheme="minorEastAsia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比赛以分站赛形式举行，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预计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每站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参赛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棋手上限500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人，到会人数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1000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人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左右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（含领队、教练、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赛风赛纪第一责任人、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棋手、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陪同、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裁判员、工作人员、媒体记者等）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比赛设置奖金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3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万元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同时根据《中国国际象棋协会赛事服务收费管理办法》的规定，收取相应的赛事服务费。</w:t>
      </w:r>
    </w:p>
    <w:p w14:paraId="2EBFCF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二、承办方条件及要求</w:t>
      </w:r>
    </w:p>
    <w:p w14:paraId="03B355E4">
      <w:pPr>
        <w:widowControl/>
        <w:numPr>
          <w:ilvl w:val="0"/>
          <w:numId w:val="0"/>
        </w:numPr>
        <w:ind w:firstLine="640" w:firstLineChars="200"/>
        <w:jc w:val="left"/>
        <w:textAlignment w:val="center"/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（一）资质要求</w:t>
      </w:r>
    </w:p>
    <w:p w14:paraId="5C09B81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center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1.承办单位应是在中国境内依法登记并合法存续的法人实体、具有能够独立承担民事责任能力的法人单位；可包括地方各级政府或政府部门、国际象棋协会、企业等组织和单位。</w:t>
      </w:r>
    </w:p>
    <w:p w14:paraId="344608CD">
      <w:pPr>
        <w:numPr>
          <w:ilvl w:val="0"/>
          <w:numId w:val="0"/>
        </w:numPr>
        <w:ind w:leftChars="0" w:firstLine="640" w:firstLineChars="200"/>
        <w:jc w:val="both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2.承办单位应具备较强的经济实力和市场开发能力，社会信誉良好。</w:t>
      </w:r>
    </w:p>
    <w:p w14:paraId="63891F77">
      <w:pPr>
        <w:widowControl/>
        <w:numPr>
          <w:ilvl w:val="0"/>
          <w:numId w:val="0"/>
        </w:numPr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3.承办单位应获得赛事举办地政府的支持，对赛事的申办须得到所在地省级国际象棋主管部门同意。</w:t>
      </w:r>
    </w:p>
    <w:p w14:paraId="69677CB7">
      <w:pPr>
        <w:numPr>
          <w:ilvl w:val="0"/>
          <w:numId w:val="0"/>
        </w:numPr>
        <w:ind w:leftChars="0" w:firstLine="640" w:firstLineChars="200"/>
        <w:jc w:val="both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（二）场地要求</w:t>
      </w:r>
    </w:p>
    <w:p w14:paraId="20A79AEE">
      <w:pPr>
        <w:widowControl/>
        <w:numPr>
          <w:ilvl w:val="0"/>
          <w:numId w:val="0"/>
        </w:numPr>
        <w:ind w:leftChars="0"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1.安排的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办赛地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点应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交通便利，酒店收费标准不高于市场价格，赛场与住宿酒店应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尽量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在同一酒店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。</w:t>
      </w:r>
    </w:p>
    <w:p w14:paraId="77F5EFEB">
      <w:pPr>
        <w:widowControl/>
        <w:numPr>
          <w:ilvl w:val="-1"/>
          <w:numId w:val="0"/>
        </w:numPr>
        <w:ind w:firstLine="640" w:firstLineChars="200"/>
        <w:jc w:val="left"/>
        <w:textAlignment w:val="center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赛场总面积应不少于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1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lang w:eastAsia="zh-CN" w:bidi="ar"/>
        </w:rPr>
        <w:t>0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00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平米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lang w:bidi="ar"/>
        </w:rPr>
        <w:t>，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区域划分合理，应配置等候区、安检区，并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配备编排等工作需要的功能用房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等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 w:bidi="ar"/>
        </w:rPr>
        <w:t>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比赛大厅应具备音响和灯光，照明充分，配备空调，拥有与赛场相邻且可为棋手专用的卫生间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赛场应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bidi="ar"/>
        </w:rPr>
        <w:t>配备相应数量、符合竞赛标准的棋具（棋盘、棋子、棋钟）</w:t>
      </w: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lang w:bidi="ar"/>
        </w:rPr>
        <w:t>以及足够数量的执法记录仪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 w:bidi="ar"/>
        </w:rPr>
        <w:t>。</w:t>
      </w:r>
    </w:p>
    <w:p w14:paraId="5502B2D5">
      <w:pPr>
        <w:numPr>
          <w:ilvl w:val="0"/>
          <w:numId w:val="0"/>
        </w:numPr>
        <w:ind w:leftChars="0" w:firstLine="640" w:firstLineChars="200"/>
        <w:jc w:val="both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（三）人员要求</w:t>
      </w:r>
    </w:p>
    <w:p w14:paraId="2EC90AC8">
      <w:pPr>
        <w:widowControl/>
        <w:numPr>
          <w:ilvl w:val="0"/>
          <w:numId w:val="0"/>
        </w:numPr>
        <w:ind w:leftChars="0"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1.承办单位应协调安排成立赛事组委会，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统筹赛事组织管理工作。赛事组委会应包括竞赛管理人员、裁判员、仲裁人员、医疗卫生人员、安检人员、安全保卫人员、志愿者、技术人员等。应明确各岗位人员分工，并根据赛事的</w:t>
      </w:r>
      <w:r>
        <w:rPr>
          <w:rFonts w:ascii="仿宋" w:hAnsi="仿宋" w:eastAsia="仿宋" w:cs="仿宋"/>
          <w:color w:val="auto"/>
          <w:kern w:val="2"/>
          <w:sz w:val="32"/>
          <w:szCs w:val="32"/>
        </w:rPr>
        <w:t>级别、规模、服务内容等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进行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/>
        </w:rPr>
        <w:t>人员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配置和管理。</w:t>
      </w:r>
    </w:p>
    <w:p w14:paraId="3CF52D7A">
      <w:pPr>
        <w:widowControl/>
        <w:numPr>
          <w:ilvl w:val="0"/>
          <w:numId w:val="0"/>
        </w:numPr>
        <w:ind w:leftChars="0" w:firstLine="640" w:firstLineChars="200"/>
        <w:jc w:val="left"/>
        <w:textAlignment w:val="center"/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2.人员应具备的技能和资质要求</w:t>
      </w:r>
    </w:p>
    <w:p w14:paraId="1E943DAF">
      <w:pPr>
        <w:widowControl/>
        <w:numPr>
          <w:ilvl w:val="0"/>
          <w:numId w:val="0"/>
        </w:numPr>
        <w:ind w:leftChars="0"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（1）竞赛管理人员：应具有相关赛事管理经验，熟悉比赛规程，具备统筹、协调能力。</w:t>
      </w:r>
    </w:p>
    <w:p w14:paraId="3B391251">
      <w:pPr>
        <w:widowControl/>
        <w:numPr>
          <w:ilvl w:val="0"/>
          <w:numId w:val="0"/>
        </w:numPr>
        <w:ind w:leftChars="0"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（2）裁判员：应遵守体育道德和行为准则，具有相应级别赛事裁判工作经验；并要求持有官方认可相应资格认证证书。</w:t>
      </w:r>
    </w:p>
    <w:p w14:paraId="0CE499A1">
      <w:pPr>
        <w:widowControl/>
        <w:numPr>
          <w:ilvl w:val="0"/>
          <w:numId w:val="0"/>
        </w:numPr>
        <w:ind w:leftChars="0"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（3）仲裁人员：应具有相应资质，具备良好的判断力和沟通能力，能够准确判断比赛中的合规性和争议点，客观、公正地处理争议和纠纷，不受任何外部因素的影响。</w:t>
      </w:r>
    </w:p>
    <w:p w14:paraId="78E4B7EF">
      <w:pPr>
        <w:widowControl/>
        <w:numPr>
          <w:ilvl w:val="0"/>
          <w:numId w:val="0"/>
        </w:numPr>
        <w:ind w:leftChars="0"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（</w:t>
      </w:r>
      <w:bookmarkStart w:id="0" w:name="_Toc25329"/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4）安检人员：需要通过专业的培训，熟练掌握安检设备的操作和识别方法，以及各种安检流程和规范。</w:t>
      </w:r>
    </w:p>
    <w:p w14:paraId="765DB097">
      <w:pPr>
        <w:widowControl/>
        <w:numPr>
          <w:ilvl w:val="0"/>
          <w:numId w:val="0"/>
        </w:numPr>
        <w:ind w:leftChars="0"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（</w:t>
      </w:r>
      <w:bookmarkEnd w:id="0"/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5）医疗卫生人员：需要取得相应的职业资格证书，需要具备相应的医学专业学历，并且要通过专业的培训，掌握必要的医疗知识和技能。</w:t>
      </w:r>
    </w:p>
    <w:p w14:paraId="3FD7DA8D">
      <w:pPr>
        <w:widowControl/>
        <w:numPr>
          <w:ilvl w:val="0"/>
          <w:numId w:val="0"/>
        </w:numPr>
        <w:ind w:leftChars="0"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（6）安全保卫人员：需要进行资格审查，按需配备；安全保卫人员需要熟悉安检、巡查、维持现场秩序的流程和管理要求。</w:t>
      </w:r>
    </w:p>
    <w:p w14:paraId="7F36B02E">
      <w:pPr>
        <w:widowControl/>
        <w:numPr>
          <w:ilvl w:val="0"/>
          <w:numId w:val="0"/>
        </w:numPr>
        <w:ind w:leftChars="0" w:firstLine="640" w:firstLineChars="200"/>
        <w:jc w:val="left"/>
        <w:textAlignment w:val="center"/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（7）志愿者：需要具备良好的身体状况和心理素质，了解所服务岗位的基本知识和技能，具备一定的语言交流能力。</w:t>
      </w:r>
    </w:p>
    <w:p w14:paraId="54E8DC03">
      <w:pPr>
        <w:widowControl/>
        <w:numPr>
          <w:ilvl w:val="0"/>
          <w:numId w:val="0"/>
        </w:numPr>
        <w:ind w:leftChars="0" w:firstLine="640" w:firstLineChars="200"/>
        <w:jc w:val="left"/>
        <w:textAlignment w:val="center"/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（8）技术人员：需要具有相应的职业资格证书，遵守职业道德和行为规范，可由赛事软硬件服务商提供。</w:t>
      </w:r>
    </w:p>
    <w:p w14:paraId="760A62CF">
      <w:pPr>
        <w:numPr>
          <w:ilvl w:val="0"/>
          <w:numId w:val="0"/>
        </w:numPr>
        <w:ind w:leftChars="0" w:firstLine="640" w:firstLineChars="200"/>
        <w:jc w:val="both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（四）经费要求</w:t>
      </w:r>
    </w:p>
    <w:p w14:paraId="37CA733A">
      <w:pPr>
        <w:widowControl/>
        <w:numPr>
          <w:ilvl w:val="0"/>
          <w:numId w:val="0"/>
        </w:numPr>
        <w:ind w:leftChars="0"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1.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根据赛事规模、项目开展等实际情况，由承办单位自筹，用于保障赛事顺利进行。</w:t>
      </w:r>
    </w:p>
    <w:p w14:paraId="56425E22">
      <w:pPr>
        <w:widowControl/>
        <w:numPr>
          <w:ilvl w:val="0"/>
          <w:numId w:val="0"/>
        </w:numPr>
        <w:ind w:leftChars="0"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2.承办单位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负责承担裁判员、工作人员、媒体记者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的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差旅、食宿、劳务等费用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费用标准按照中国国际象棋协会有关规定和办赛协议书执行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。</w:t>
      </w:r>
    </w:p>
    <w:p w14:paraId="3A0447F8">
      <w:pPr>
        <w:widowControl/>
        <w:numPr>
          <w:ilvl w:val="0"/>
          <w:numId w:val="0"/>
        </w:numPr>
        <w:ind w:leftChars="200"/>
        <w:jc w:val="left"/>
        <w:textAlignment w:val="center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auto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auto"/>
          <w:lang w:val="en-US" w:eastAsia="zh-CN" w:bidi="ar"/>
        </w:rPr>
        <w:t>（五）运营要求</w:t>
      </w:r>
      <w:bookmarkStart w:id="1" w:name="_GoBack"/>
      <w:bookmarkEnd w:id="1"/>
    </w:p>
    <w:p w14:paraId="11BD6C01">
      <w:pPr>
        <w:widowControl/>
        <w:numPr>
          <w:ilvl w:val="0"/>
          <w:numId w:val="0"/>
        </w:numPr>
        <w:ind w:leftChars="0"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1.承办方负责组织和宣传。需具备赛事整体策划能力，负责赛事整体方案制定及执行落地，负责整体宣传方案、活动方案、安全预案（含熔断机制）、应急救援方案、舆情应对方案等方案制定和执行。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 xml:space="preserve">    2.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负责背景板、秩序册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、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参赛证件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等相关物料的设计印刷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制作。</w:t>
      </w:r>
    </w:p>
    <w:p w14:paraId="79D33BC2">
      <w:pPr>
        <w:widowControl/>
        <w:numPr>
          <w:ilvl w:val="0"/>
          <w:numId w:val="0"/>
        </w:numPr>
        <w:ind w:leftChars="0"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3.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负责赛事组织承办计划的实施，承担与比赛相关的组织工作，包括安保、饮食、卫生、医疗救护和保险等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。</w:t>
      </w:r>
    </w:p>
    <w:p w14:paraId="60117458">
      <w:pPr>
        <w:widowControl/>
        <w:numPr>
          <w:ilvl w:val="0"/>
          <w:numId w:val="0"/>
        </w:numPr>
        <w:ind w:leftChars="0"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4.负责赛事总结、资料收集及其他赛事收尾事宜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。</w:t>
      </w:r>
    </w:p>
    <w:p w14:paraId="52E62A3D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auto"/>
          <w:lang w:val="en-US" w:eastAsia="zh-CN" w:bidi="ar"/>
        </w:rPr>
      </w:pPr>
    </w:p>
    <w:p w14:paraId="4DD08372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auto"/>
          <w:lang w:val="en-US" w:eastAsia="zh-CN" w:bidi="ar"/>
        </w:rPr>
      </w:pPr>
    </w:p>
    <w:p w14:paraId="18D3F26F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auto"/>
          <w:lang w:val="en-US" w:eastAsia="zh-CN" w:bidi="ar"/>
        </w:rPr>
      </w:pPr>
    </w:p>
    <w:p w14:paraId="3FF6BB85">
      <w:pPr>
        <w:rPr>
          <w:color w:val="auto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CEA4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3E292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3E292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5NjhkNDI1NjEwNGY5MjdlMTgyZGJlNDk3Njk3NmMifQ=="/>
  </w:docVars>
  <w:rsids>
    <w:rsidRoot w:val="7CC71084"/>
    <w:rsid w:val="01F90791"/>
    <w:rsid w:val="02127BC0"/>
    <w:rsid w:val="02301FCF"/>
    <w:rsid w:val="07D4179D"/>
    <w:rsid w:val="08F0001F"/>
    <w:rsid w:val="22A31EF1"/>
    <w:rsid w:val="26EA27E4"/>
    <w:rsid w:val="2C5C3619"/>
    <w:rsid w:val="2CF972DD"/>
    <w:rsid w:val="334D2131"/>
    <w:rsid w:val="34CA155F"/>
    <w:rsid w:val="41401527"/>
    <w:rsid w:val="41962EF5"/>
    <w:rsid w:val="437E00E5"/>
    <w:rsid w:val="49A0413C"/>
    <w:rsid w:val="4B723952"/>
    <w:rsid w:val="4E0A2368"/>
    <w:rsid w:val="60536729"/>
    <w:rsid w:val="652A1A23"/>
    <w:rsid w:val="6596312D"/>
    <w:rsid w:val="671E228B"/>
    <w:rsid w:val="67AA29A7"/>
    <w:rsid w:val="6C1A00FB"/>
    <w:rsid w:val="6CC13DA5"/>
    <w:rsid w:val="6ED870B1"/>
    <w:rsid w:val="718C5AA6"/>
    <w:rsid w:val="7AE5221C"/>
    <w:rsid w:val="7CA67789"/>
    <w:rsid w:val="7CC7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1377</Words>
  <Characters>1398</Characters>
  <Lines>0</Lines>
  <Paragraphs>0</Paragraphs>
  <TotalTime>59</TotalTime>
  <ScaleCrop>false</ScaleCrop>
  <LinksUpToDate>false</LinksUpToDate>
  <CharactersWithSpaces>1403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2024-03-25T08:39:00Z</dcterms:created>
  <dc:creator>李齐</dc:creator>
  <cp:lastModifiedBy>李齐</cp:lastModifiedBy>
  <dcterms:modified xsi:type="dcterms:W3CDTF">2024-12-11T07:12:37Z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D669505708324FB1AA3C326515414530_11</vt:lpwstr>
  </property>
</Properties>
</file>