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/>
        <w:jc w:val="center"/>
        <w:textAlignment w:val="auto"/>
        <w:rPr>
          <w:rFonts w:hint="eastAsia" w:ascii="Times New Roman" w:hAnsi="Times New Roman" w:eastAsia="黑体" w:cs="Times New Roman"/>
          <w:bCs/>
          <w:color w:val="auto"/>
          <w:kern w:val="2"/>
          <w:sz w:val="36"/>
          <w:szCs w:val="36"/>
          <w:highlight w:val="none"/>
          <w:lang w:val="en-US" w:eastAsia="zh-CN" w:bidi="zh-CN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6"/>
          <w:szCs w:val="36"/>
          <w:highlight w:val="none"/>
          <w:lang w:val="en-US" w:eastAsia="zh-CN" w:bidi="zh-CN"/>
        </w:rPr>
        <w:t>“新泰杯”2023首届全国国际跳棋俱乐部联赛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/>
        <w:jc w:val="center"/>
        <w:textAlignment w:val="auto"/>
        <w:rPr>
          <w:rFonts w:hint="eastAsia" w:ascii="Times New Roman" w:hAnsi="Times New Roman" w:eastAsia="黑体" w:cs="Times New Roman"/>
          <w:bCs/>
          <w:color w:val="auto"/>
          <w:kern w:val="2"/>
          <w:sz w:val="36"/>
          <w:szCs w:val="36"/>
          <w:highlight w:val="none"/>
          <w:lang w:val="en-US" w:eastAsia="zh-CN" w:bidi="zh-CN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6"/>
          <w:szCs w:val="36"/>
          <w:highlight w:val="none"/>
          <w:lang w:val="en-US" w:eastAsia="zh-CN" w:bidi="zh-CN"/>
        </w:rPr>
        <w:t>总规程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</w:t>
      </w:r>
      <w:r>
        <w:rPr>
          <w:rFonts w:hint="eastAsia" w:ascii="仿宋" w:hAnsi="仿宋" w:eastAsia="仿宋" w:cs="仿宋"/>
          <w:sz w:val="32"/>
          <w:szCs w:val="32"/>
        </w:rPr>
        <w:t>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泰安市体育局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新泰市人民政府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新泰市教育和体育局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新泰市体育发展中心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新泰市棋牌协会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新泰市青云街道办事处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支持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山东省棋牌运动管理中心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山东体育学院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竞赛时间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和地点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（一）预选赛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时间：2023年8月12-14日（拟定）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地点：浙江丽水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（二）常规赛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时间：2023年8月22-27日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地点：山东新泰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（三）决赛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时间：2023年12月11-16日（拟定）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地点：山东新泰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各阶段竞赛规程将另行发布。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100格混合团体赛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参赛单位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（一）联赛常规赛参赛单位为：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获得2023年全国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国际跳棋团体锦标赛100格混合团体组前6名的单位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如同一单位有两只代表队，该单位不重复获得资格，顺延至下一单位。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获得2023年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全国国际跳棋俱乐部联赛预选赛前6名的单位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如有不参赛者，参赛资格按预选赛名次递补。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（二）联赛参赛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单位需为法人单位（法人单位包括企业法人、事业单位法人、机关法人、社会团体法人和其他法人）。每个法人单位只能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选派一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支队伍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参加联赛。允许各单位冠名赞助，但队名缩写原则上不得超过六个字。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参赛资格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（一）联赛报名即视为联赛注册，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z w:val="32"/>
          <w:szCs w:val="32"/>
        </w:rPr>
        <w:t>棋手所代表单位的资格仅限于本赛事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eastAsia="zh-CN"/>
        </w:rPr>
        <w:t>全国国际跳棋运动员注册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的运动员在注册期内应代表注册单位参赛。注册棋手允许商借，商借棋手须提交注册单位出具的商借函。未注册棋手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z w:val="32"/>
          <w:szCs w:val="32"/>
        </w:rPr>
        <w:t>需与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z w:val="32"/>
          <w:szCs w:val="32"/>
          <w:lang w:val="en-US" w:eastAsia="zh-CN"/>
        </w:rPr>
        <w:t>参赛单位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z w:val="32"/>
          <w:szCs w:val="32"/>
        </w:rPr>
        <w:t>签订有效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z w:val="32"/>
          <w:szCs w:val="32"/>
          <w:lang w:eastAsia="zh-CN"/>
        </w:rPr>
        <w:t>劳动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color w:val="auto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棋手本赛季只能代表一个单位参加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参赛棋手最低年龄限制为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2010年12月31日前出生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参赛单位可报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名棋手，领队1名、教练1名。联赛人员名单确定后，不得中途变更。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《中国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100格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国际跳棋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规则》（试行）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比赛各阶段</w:t>
      </w:r>
      <w:r>
        <w:rPr>
          <w:rFonts w:hint="eastAsia" w:ascii="仿宋" w:hAnsi="仿宋" w:eastAsia="仿宋" w:cs="仿宋"/>
          <w:sz w:val="32"/>
          <w:szCs w:val="32"/>
        </w:rPr>
        <w:t>均为赛会制。常规赛</w:t>
      </w:r>
      <w:r>
        <w:rPr>
          <w:rFonts w:hint="eastAsia" w:ascii="仿宋" w:hAnsi="仿宋" w:eastAsia="仿宋" w:cs="仿宋"/>
          <w:kern w:val="0"/>
          <w:sz w:val="32"/>
          <w:szCs w:val="32"/>
        </w:rPr>
        <w:t>采用11轮单循环赛制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决赛采用淘汰赛制。</w:t>
      </w:r>
      <w:r>
        <w:rPr>
          <w:rFonts w:hint="eastAsia" w:ascii="仿宋" w:hAnsi="仿宋" w:eastAsia="仿宋" w:cs="仿宋"/>
          <w:kern w:val="0"/>
          <w:sz w:val="32"/>
          <w:szCs w:val="32"/>
        </w:rPr>
        <w:t>详见常规赛和决赛竞赛规程。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（三）比赛采用临场定台制，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每轮</w:t>
      </w:r>
      <w:r>
        <w:rPr>
          <w:rFonts w:hint="eastAsia" w:ascii="仿宋" w:hAnsi="仿宋" w:eastAsia="仿宋" w:cs="仿宋"/>
          <w:sz w:val="32"/>
          <w:szCs w:val="32"/>
        </w:rPr>
        <w:t>上场3人，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2男1女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常规赛前8名晋级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赛，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后4名进入保级赛。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（五）比赛计算等级分。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录取名次和奖励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前10名</w:t>
      </w:r>
      <w:r>
        <w:rPr>
          <w:rFonts w:hint="eastAsia" w:ascii="仿宋" w:hAnsi="仿宋" w:eastAsia="仿宋" w:cs="仿宋"/>
          <w:sz w:val="32"/>
          <w:szCs w:val="32"/>
        </w:rPr>
        <w:t>获得参加2024年全国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国际跳棋俱乐部</w:t>
      </w:r>
      <w:r>
        <w:rPr>
          <w:rFonts w:hint="eastAsia" w:ascii="仿宋" w:hAnsi="仿宋" w:eastAsia="仿宋" w:cs="仿宋"/>
          <w:sz w:val="32"/>
          <w:szCs w:val="32"/>
        </w:rPr>
        <w:t>联赛资格。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</w:t>
      </w:r>
      <w:r>
        <w:rPr>
          <w:rFonts w:hint="eastAsia" w:ascii="仿宋" w:hAnsi="仿宋" w:eastAsia="仿宋" w:cs="仿宋"/>
          <w:sz w:val="32"/>
          <w:szCs w:val="32"/>
        </w:rPr>
        <w:t>赛录取前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名，分别奖励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（三）联赛设“常规赛最有价值棋手”和“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</w:t>
      </w:r>
      <w:r>
        <w:rPr>
          <w:rFonts w:hint="eastAsia" w:ascii="仿宋" w:hAnsi="仿宋" w:eastAsia="仿宋" w:cs="仿宋"/>
          <w:sz w:val="32"/>
          <w:szCs w:val="32"/>
        </w:rPr>
        <w:t>赛最有价值棋手”奖项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各1名</w:t>
      </w:r>
      <w:r>
        <w:rPr>
          <w:rFonts w:hint="eastAsia" w:ascii="仿宋" w:hAnsi="仿宋" w:eastAsia="仿宋" w:cs="仿宋"/>
          <w:sz w:val="32"/>
          <w:szCs w:val="32"/>
        </w:rPr>
        <w:t>，“体育道德风尚奖”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参赛单位1队、个人运动员2名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（四）其他奖项评奖办法另定。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报名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和报到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参赛报名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表》，并连同本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单位组织机构代码证复印件，报送中国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凭借</w:t>
      </w:r>
      <w:r>
        <w:rPr>
          <w:rFonts w:hint="eastAsia" w:ascii="仿宋" w:hAnsi="仿宋" w:eastAsia="仿宋" w:cs="仿宋"/>
          <w:sz w:val="32"/>
          <w:szCs w:val="32"/>
        </w:rPr>
        <w:t>2023年全国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国际跳棋团体锦标赛100格混合团体组成绩获得参赛资格的单位需于2023年7月19日前提交《参赛报名表》。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报名后无故不参赛或中途退赛的单位，三年内不予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其它事宜详见各阶段竞赛规程。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裁判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和仲裁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裁判长、副裁判长、编排长、裁判员由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中国国际跳棋协会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选派。辅助裁判员由承办单位根据需要选派。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（二）比赛设立仲裁委员会，人员组成及职责范围按《仲裁委员会条例》执行。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器材和经费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比赛采用统一棋具和棋钟，由承办单位提供。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常规赛</w:t>
      </w:r>
      <w:r>
        <w:rPr>
          <w:rFonts w:hint="eastAsia" w:ascii="仿宋" w:hAnsi="仿宋" w:eastAsia="仿宋" w:cs="仿宋"/>
          <w:sz w:val="32"/>
          <w:szCs w:val="32"/>
        </w:rPr>
        <w:t>参赛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每队补贴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税前</w:t>
      </w:r>
      <w:r>
        <w:rPr>
          <w:rFonts w:hint="eastAsia" w:ascii="仿宋" w:hAnsi="仿宋" w:eastAsia="仿宋" w:cs="仿宋"/>
          <w:sz w:val="32"/>
          <w:szCs w:val="32"/>
        </w:rPr>
        <w:t>）竞赛经费。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竞赛补贴与决赛奖励不可兼得。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各队比赛期间相关费用自理。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有义务</w:t>
      </w:r>
      <w:r>
        <w:rPr>
          <w:rFonts w:hint="eastAsia" w:ascii="仿宋" w:hAnsi="仿宋" w:eastAsia="仿宋" w:cs="仿宋"/>
          <w:sz w:val="32"/>
          <w:szCs w:val="32"/>
        </w:rPr>
        <w:t>参加由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</w:t>
      </w:r>
      <w:r>
        <w:rPr>
          <w:rFonts w:hint="eastAsia" w:ascii="仿宋" w:hAnsi="仿宋" w:eastAsia="仿宋" w:cs="仿宋"/>
          <w:sz w:val="32"/>
          <w:szCs w:val="32"/>
        </w:rPr>
        <w:t>组织的赛事推广活动。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（二）参赛人员须出席开、闭幕式。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（三）棋手需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</w:rPr>
        <w:t>着装参赛、出席与比赛有关的各项活动。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十四、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未尽事宜，另行通知。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十五 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本规程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Hans"/>
        </w:rPr>
        <w:t>由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中国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国际跳棋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协会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负责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解释。</w:t>
      </w:r>
    </w:p>
    <w:p>
      <w:pPr>
        <w:shd w:val="clear" w:color="auto" w:fill="FFFFFF"/>
        <w:jc w:val="both"/>
        <w:rPr>
          <w:rFonts w:hint="default" w:ascii="Arial" w:hAnsi="Arial" w:cs="Arial"/>
          <w:spacing w:val="11"/>
          <w:sz w:val="32"/>
          <w:szCs w:val="36"/>
          <w:lang w:val="en-US" w:eastAsia="zh-CN"/>
        </w:rPr>
      </w:pPr>
    </w:p>
    <w:sectPr>
      <w:footerReference r:id="rId3" w:type="default"/>
      <w:pgSz w:w="11905" w:h="16838"/>
      <w:pgMar w:top="1440" w:right="1803" w:bottom="1440" w:left="180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D9FDE"/>
    <w:multiLevelType w:val="singleLevel"/>
    <w:tmpl w:val="8C3D9FDE"/>
    <w:lvl w:ilvl="0" w:tentative="0">
      <w:start w:val="1"/>
      <w:numFmt w:val="chineseCounting"/>
      <w:suff w:val="nothing"/>
      <w:lvlText w:val="%1、"/>
      <w:lvlJc w:val="left"/>
      <w:pPr>
        <w:ind w:left="420" w:leftChars="0" w:hanging="420" w:firstLineChars="0"/>
      </w:pPr>
      <w:rPr>
        <w:rFonts w:hint="eastAsia" w:eastAsia="方正公文黑体"/>
      </w:rPr>
    </w:lvl>
  </w:abstractNum>
  <w:abstractNum w:abstractNumId="1">
    <w:nsid w:val="B4E99686"/>
    <w:multiLevelType w:val="singleLevel"/>
    <w:tmpl w:val="B4E996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C4A6F0"/>
    <w:multiLevelType w:val="singleLevel"/>
    <w:tmpl w:val="29C4A6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HorizontalSpacing w:val="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00172A27"/>
    <w:rsid w:val="00002CE5"/>
    <w:rsid w:val="00006343"/>
    <w:rsid w:val="00013391"/>
    <w:rsid w:val="000178A2"/>
    <w:rsid w:val="000312EF"/>
    <w:rsid w:val="0003783B"/>
    <w:rsid w:val="00042BEE"/>
    <w:rsid w:val="00062EC1"/>
    <w:rsid w:val="00084C44"/>
    <w:rsid w:val="00096A08"/>
    <w:rsid w:val="000A4439"/>
    <w:rsid w:val="000A5A34"/>
    <w:rsid w:val="000D45CF"/>
    <w:rsid w:val="000F1BF3"/>
    <w:rsid w:val="000F2353"/>
    <w:rsid w:val="000F6628"/>
    <w:rsid w:val="00121654"/>
    <w:rsid w:val="00137483"/>
    <w:rsid w:val="00144F9E"/>
    <w:rsid w:val="00150D6E"/>
    <w:rsid w:val="00152FB2"/>
    <w:rsid w:val="00172A27"/>
    <w:rsid w:val="00195743"/>
    <w:rsid w:val="001A1C3E"/>
    <w:rsid w:val="001B30FA"/>
    <w:rsid w:val="001E1F80"/>
    <w:rsid w:val="001F27E3"/>
    <w:rsid w:val="00200767"/>
    <w:rsid w:val="00203FF9"/>
    <w:rsid w:val="0021397F"/>
    <w:rsid w:val="00220E96"/>
    <w:rsid w:val="00227E95"/>
    <w:rsid w:val="0023077D"/>
    <w:rsid w:val="00235EEC"/>
    <w:rsid w:val="002524C4"/>
    <w:rsid w:val="00297297"/>
    <w:rsid w:val="002B61B7"/>
    <w:rsid w:val="002C4219"/>
    <w:rsid w:val="002D5174"/>
    <w:rsid w:val="002F71B6"/>
    <w:rsid w:val="003365CB"/>
    <w:rsid w:val="003370F4"/>
    <w:rsid w:val="003565DA"/>
    <w:rsid w:val="00370522"/>
    <w:rsid w:val="0037340E"/>
    <w:rsid w:val="00387636"/>
    <w:rsid w:val="00396262"/>
    <w:rsid w:val="003A4498"/>
    <w:rsid w:val="003A497F"/>
    <w:rsid w:val="003A731F"/>
    <w:rsid w:val="003A7C82"/>
    <w:rsid w:val="003B2C59"/>
    <w:rsid w:val="00404956"/>
    <w:rsid w:val="00416541"/>
    <w:rsid w:val="00417F7E"/>
    <w:rsid w:val="00421726"/>
    <w:rsid w:val="004316BD"/>
    <w:rsid w:val="00456455"/>
    <w:rsid w:val="00466D1A"/>
    <w:rsid w:val="004966B6"/>
    <w:rsid w:val="004A0C0E"/>
    <w:rsid w:val="004A5B8E"/>
    <w:rsid w:val="004C21CF"/>
    <w:rsid w:val="004E1EA1"/>
    <w:rsid w:val="004E5DD2"/>
    <w:rsid w:val="0050134A"/>
    <w:rsid w:val="00501C62"/>
    <w:rsid w:val="005372CE"/>
    <w:rsid w:val="00541E45"/>
    <w:rsid w:val="00543538"/>
    <w:rsid w:val="00544703"/>
    <w:rsid w:val="00546D1D"/>
    <w:rsid w:val="00550933"/>
    <w:rsid w:val="00552DCE"/>
    <w:rsid w:val="00557CB5"/>
    <w:rsid w:val="00560F81"/>
    <w:rsid w:val="0057554C"/>
    <w:rsid w:val="005B077A"/>
    <w:rsid w:val="005C4A43"/>
    <w:rsid w:val="005D5455"/>
    <w:rsid w:val="005D6697"/>
    <w:rsid w:val="005F6D92"/>
    <w:rsid w:val="00627E45"/>
    <w:rsid w:val="0063541D"/>
    <w:rsid w:val="006404A3"/>
    <w:rsid w:val="006605E4"/>
    <w:rsid w:val="00670280"/>
    <w:rsid w:val="00672C0D"/>
    <w:rsid w:val="00674D7B"/>
    <w:rsid w:val="00686E0B"/>
    <w:rsid w:val="0069582F"/>
    <w:rsid w:val="0069707E"/>
    <w:rsid w:val="006B1EFC"/>
    <w:rsid w:val="006B635F"/>
    <w:rsid w:val="006C6E0D"/>
    <w:rsid w:val="006E1496"/>
    <w:rsid w:val="006E5A5C"/>
    <w:rsid w:val="006F1DF5"/>
    <w:rsid w:val="0070480C"/>
    <w:rsid w:val="007152E9"/>
    <w:rsid w:val="00726A24"/>
    <w:rsid w:val="00734391"/>
    <w:rsid w:val="00736E3D"/>
    <w:rsid w:val="00743C38"/>
    <w:rsid w:val="00745E14"/>
    <w:rsid w:val="007B744B"/>
    <w:rsid w:val="007C2034"/>
    <w:rsid w:val="007C4682"/>
    <w:rsid w:val="007C4D3D"/>
    <w:rsid w:val="007D378B"/>
    <w:rsid w:val="007D41DC"/>
    <w:rsid w:val="007E543E"/>
    <w:rsid w:val="008230B7"/>
    <w:rsid w:val="00827386"/>
    <w:rsid w:val="00846BC5"/>
    <w:rsid w:val="008472DF"/>
    <w:rsid w:val="00851133"/>
    <w:rsid w:val="00862E02"/>
    <w:rsid w:val="00875536"/>
    <w:rsid w:val="00882849"/>
    <w:rsid w:val="008A2F68"/>
    <w:rsid w:val="008B1062"/>
    <w:rsid w:val="008B2190"/>
    <w:rsid w:val="008C12E6"/>
    <w:rsid w:val="008C3D67"/>
    <w:rsid w:val="008C4F25"/>
    <w:rsid w:val="008D3A6D"/>
    <w:rsid w:val="008F6E74"/>
    <w:rsid w:val="00922046"/>
    <w:rsid w:val="009425BF"/>
    <w:rsid w:val="00966F4E"/>
    <w:rsid w:val="009732E1"/>
    <w:rsid w:val="00974BF4"/>
    <w:rsid w:val="00977E5F"/>
    <w:rsid w:val="00983D11"/>
    <w:rsid w:val="00986192"/>
    <w:rsid w:val="00993A70"/>
    <w:rsid w:val="009C3843"/>
    <w:rsid w:val="009E4D45"/>
    <w:rsid w:val="009E7EAD"/>
    <w:rsid w:val="009F4CB6"/>
    <w:rsid w:val="00A01D7E"/>
    <w:rsid w:val="00A03D91"/>
    <w:rsid w:val="00A15F33"/>
    <w:rsid w:val="00A31B23"/>
    <w:rsid w:val="00A87731"/>
    <w:rsid w:val="00AF1348"/>
    <w:rsid w:val="00AF2572"/>
    <w:rsid w:val="00B069A3"/>
    <w:rsid w:val="00B21CDA"/>
    <w:rsid w:val="00B323D2"/>
    <w:rsid w:val="00B53D13"/>
    <w:rsid w:val="00B60202"/>
    <w:rsid w:val="00B725A0"/>
    <w:rsid w:val="00B81AFE"/>
    <w:rsid w:val="00B86550"/>
    <w:rsid w:val="00BA761C"/>
    <w:rsid w:val="00BB3815"/>
    <w:rsid w:val="00BB67C3"/>
    <w:rsid w:val="00BC5D71"/>
    <w:rsid w:val="00BE50DD"/>
    <w:rsid w:val="00C072C4"/>
    <w:rsid w:val="00C10C5B"/>
    <w:rsid w:val="00C15632"/>
    <w:rsid w:val="00C23529"/>
    <w:rsid w:val="00C265D1"/>
    <w:rsid w:val="00C3379C"/>
    <w:rsid w:val="00C34282"/>
    <w:rsid w:val="00C41EB8"/>
    <w:rsid w:val="00C429FC"/>
    <w:rsid w:val="00C42E65"/>
    <w:rsid w:val="00C43789"/>
    <w:rsid w:val="00C97CB1"/>
    <w:rsid w:val="00CA371D"/>
    <w:rsid w:val="00CB3FB3"/>
    <w:rsid w:val="00CB52A5"/>
    <w:rsid w:val="00CB6257"/>
    <w:rsid w:val="00CC3B40"/>
    <w:rsid w:val="00CE0460"/>
    <w:rsid w:val="00CE65B2"/>
    <w:rsid w:val="00CF3256"/>
    <w:rsid w:val="00D11418"/>
    <w:rsid w:val="00D232A8"/>
    <w:rsid w:val="00D4202D"/>
    <w:rsid w:val="00D42C01"/>
    <w:rsid w:val="00D5575C"/>
    <w:rsid w:val="00D75803"/>
    <w:rsid w:val="00D87A7B"/>
    <w:rsid w:val="00D9590C"/>
    <w:rsid w:val="00DA12FC"/>
    <w:rsid w:val="00DB0581"/>
    <w:rsid w:val="00DB1F3B"/>
    <w:rsid w:val="00DC3B6B"/>
    <w:rsid w:val="00DC4983"/>
    <w:rsid w:val="00DD0E7B"/>
    <w:rsid w:val="00DD4EAE"/>
    <w:rsid w:val="00E01BA7"/>
    <w:rsid w:val="00E22A2D"/>
    <w:rsid w:val="00E508AA"/>
    <w:rsid w:val="00E50DC0"/>
    <w:rsid w:val="00E63767"/>
    <w:rsid w:val="00E6796A"/>
    <w:rsid w:val="00E777D7"/>
    <w:rsid w:val="00E92BA7"/>
    <w:rsid w:val="00E96E01"/>
    <w:rsid w:val="00EB76CA"/>
    <w:rsid w:val="00EC1B86"/>
    <w:rsid w:val="00EC7F71"/>
    <w:rsid w:val="00F7052E"/>
    <w:rsid w:val="00F733DC"/>
    <w:rsid w:val="00F94F16"/>
    <w:rsid w:val="00FC19A1"/>
    <w:rsid w:val="00FC4607"/>
    <w:rsid w:val="00FF19CB"/>
    <w:rsid w:val="0176427D"/>
    <w:rsid w:val="02393535"/>
    <w:rsid w:val="025048F9"/>
    <w:rsid w:val="05C52332"/>
    <w:rsid w:val="07FA6587"/>
    <w:rsid w:val="09F56D10"/>
    <w:rsid w:val="0BEC1768"/>
    <w:rsid w:val="0C441FF1"/>
    <w:rsid w:val="0D81282C"/>
    <w:rsid w:val="11365460"/>
    <w:rsid w:val="1285376F"/>
    <w:rsid w:val="135D2C13"/>
    <w:rsid w:val="1775CEB2"/>
    <w:rsid w:val="1A97717B"/>
    <w:rsid w:val="1E8503B7"/>
    <w:rsid w:val="1F6A2231"/>
    <w:rsid w:val="253246E2"/>
    <w:rsid w:val="2AE77BF2"/>
    <w:rsid w:val="2B2C413E"/>
    <w:rsid w:val="2B7E5098"/>
    <w:rsid w:val="317B45CF"/>
    <w:rsid w:val="3600655A"/>
    <w:rsid w:val="39C13AB9"/>
    <w:rsid w:val="3F556A2E"/>
    <w:rsid w:val="408B4458"/>
    <w:rsid w:val="47B85471"/>
    <w:rsid w:val="48D90A03"/>
    <w:rsid w:val="496478C7"/>
    <w:rsid w:val="4CB91781"/>
    <w:rsid w:val="4CD14F68"/>
    <w:rsid w:val="4F243DF9"/>
    <w:rsid w:val="608E7761"/>
    <w:rsid w:val="62086276"/>
    <w:rsid w:val="646F5EF6"/>
    <w:rsid w:val="6A803F3C"/>
    <w:rsid w:val="6F1E315D"/>
    <w:rsid w:val="72BB2A7C"/>
    <w:rsid w:val="72C84270"/>
    <w:rsid w:val="72E73CC5"/>
    <w:rsid w:val="740116E1"/>
    <w:rsid w:val="74E651D7"/>
    <w:rsid w:val="76121784"/>
    <w:rsid w:val="782240AC"/>
    <w:rsid w:val="79F42872"/>
    <w:rsid w:val="7B266F0B"/>
    <w:rsid w:val="7DCA166B"/>
    <w:rsid w:val="7E1F6E98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8">
    <w:name w:val="annotation subject"/>
    <w:basedOn w:val="3"/>
    <w:next w:val="3"/>
    <w:link w:val="21"/>
    <w:semiHidden/>
    <w:qFormat/>
    <w:uiPriority w:val="99"/>
    <w:rPr>
      <w:b/>
      <w:bCs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6">
    <w:name w:val="Heading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Comment Text Char"/>
    <w:basedOn w:val="10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8">
    <w:name w:val="Balloon Text Char"/>
    <w:basedOn w:val="10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19">
    <w:name w:val="Footer Char"/>
    <w:basedOn w:val="10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20">
    <w:name w:val="Header Char"/>
    <w:basedOn w:val="10"/>
    <w:link w:val="6"/>
    <w:qFormat/>
    <w:locked/>
    <w:uiPriority w:val="99"/>
    <w:rPr>
      <w:rFonts w:cs="Times New Roman"/>
      <w:sz w:val="18"/>
    </w:rPr>
  </w:style>
  <w:style w:type="character" w:customStyle="1" w:styleId="21">
    <w:name w:val="Comment Subject Char"/>
    <w:basedOn w:val="17"/>
    <w:link w:val="8"/>
    <w:semiHidden/>
    <w:qFormat/>
    <w:locked/>
    <w:uiPriority w:val="99"/>
    <w:rPr>
      <w:b/>
      <w:bCs/>
    </w:rPr>
  </w:style>
  <w:style w:type="character" w:customStyle="1" w:styleId="22">
    <w:name w:val="Header Char1"/>
    <w:basedOn w:val="10"/>
    <w:link w:val="6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ZGXQXH</Company>
  <Pages>5</Pages>
  <Words>1335</Words>
  <Characters>1394</Characters>
  <Lines>0</Lines>
  <Paragraphs>0</Paragraphs>
  <TotalTime>73</TotalTime>
  <ScaleCrop>false</ScaleCrop>
  <LinksUpToDate>false</LinksUpToDate>
  <CharactersWithSpaces>1417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2021-05-09T14:44:00Z</dcterms:created>
  <dc:creator>ZHOUWB</dc:creator>
  <cp:lastModifiedBy>qpzx</cp:lastModifiedBy>
  <cp:lastPrinted>2023-07-13T08:33:25Z</cp:lastPrinted>
  <dcterms:modified xsi:type="dcterms:W3CDTF">2023-07-13T08:41:44Z</dcterms:modified>
  <dc:title>2018象甲细则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D42C1988643F44938D6233A36775A964_13</vt:lpwstr>
  </property>
</Properties>
</file>