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b/>
          <w:bCs/>
          <w:i w:val="0"/>
          <w:color w:val="000000"/>
          <w:spacing w:val="0"/>
          <w:w w:val="100"/>
          <w:sz w:val="36"/>
          <w:szCs w:val="36"/>
          <w:highlight w:val="whit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w w:val="100"/>
          <w:sz w:val="36"/>
          <w:szCs w:val="36"/>
          <w:highlight w:val="white"/>
        </w:rPr>
        <w:t>2023年全国国际跳棋锦标赛</w:t>
      </w:r>
      <w:r>
        <w:rPr>
          <w:rFonts w:hint="eastAsia" w:ascii="宋体" w:hAnsi="宋体" w:cs="宋体"/>
          <w:b/>
          <w:bCs/>
          <w:i w:val="0"/>
          <w:color w:val="000000"/>
          <w:spacing w:val="0"/>
          <w:w w:val="100"/>
          <w:sz w:val="36"/>
          <w:szCs w:val="36"/>
          <w:highlight w:val="white"/>
          <w:lang w:val="en-US" w:eastAsia="zh-CN"/>
        </w:rPr>
        <w:t>竞赛</w:t>
      </w: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w w:val="100"/>
          <w:sz w:val="36"/>
          <w:szCs w:val="36"/>
          <w:highlight w:val="white"/>
        </w:rPr>
        <w:t>规程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一、主办单位：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国家体育总局棋牌运动管理中心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中国国际跳棋协会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湖北省体育局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十堰市人民政府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二、承办单位：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湖北省体育局棋牌运动管理中心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十堰市文化和旅游局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十堰市体育局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三、协办单位：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default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十堰市体育中心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四、竞赛时间：</w:t>
      </w: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2023年6月25日至29日  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五、竞赛地点：</w:t>
      </w: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湖北省十堰市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六、竞赛项目：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bCs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100格男子个人赛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bCs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100格女子个人赛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64格男子个人赛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default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64格女子个人赛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七、参赛资格：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default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（一）参赛选手须为2023年度国际跳棋注册运动员。</w:t>
      </w:r>
    </w:p>
    <w:p>
      <w:pPr>
        <w:widowControl/>
        <w:ind w:firstLine="640" w:firstLineChars="200"/>
        <w:jc w:val="left"/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i w:val="0"/>
          <w:color w:val="121212"/>
          <w:spacing w:val="0"/>
          <w:kern w:val="0"/>
          <w:sz w:val="32"/>
          <w:szCs w:val="32"/>
          <w:u w:val="none"/>
          <w:lang w:val="en-US" w:eastAsia="zh-CN" w:bidi="ar"/>
        </w:rPr>
        <w:t>各省、自治区、直辖市、计划单列市体育局棋牌管理部门，行业体协，省级国际跳棋协会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，全国国际跳棋基地统</w:t>
      </w:r>
      <w:r>
        <w:rPr>
          <w:rFonts w:hint="eastAsia" w:ascii="仿宋" w:hAnsi="仿宋" w:eastAsia="仿宋" w:cs="仿宋"/>
          <w:b w:val="0"/>
          <w:bCs w:val="0"/>
          <w:i w:val="0"/>
          <w:color w:val="121212"/>
          <w:spacing w:val="0"/>
          <w:kern w:val="0"/>
          <w:sz w:val="32"/>
          <w:szCs w:val="32"/>
          <w:u w:val="none"/>
          <w:lang w:val="en-US" w:eastAsia="zh-CN" w:bidi="ar"/>
        </w:rPr>
        <w:t>一报名参赛。各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单位每项目可报6名运动员</w:t>
      </w:r>
      <w:r>
        <w:rPr>
          <w:rFonts w:hint="eastAsia" w:ascii="仿宋" w:hAnsi="仿宋" w:eastAsia="仿宋" w:cs="仿宋"/>
          <w:b w:val="0"/>
          <w:bCs w:val="0"/>
          <w:i w:val="0"/>
          <w:color w:val="121212"/>
          <w:spacing w:val="0"/>
          <w:kern w:val="0"/>
          <w:sz w:val="32"/>
          <w:szCs w:val="32"/>
          <w:u w:val="none"/>
          <w:lang w:val="en-US" w:eastAsia="zh-CN" w:bidi="ar"/>
        </w:rPr>
        <w:t>参加比赛。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八、竞赛办法：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（一）比赛</w:t>
      </w: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采用中国国际跳棋协会最新审定的《中国国际跳棋竞赛规则(试行)》。</w:t>
      </w:r>
    </w:p>
    <w:p>
      <w:pPr>
        <w:widowControl/>
        <w:ind w:firstLine="640" w:firstLineChars="200"/>
        <w:jc w:val="left"/>
        <w:rPr>
          <w:rStyle w:val="4"/>
          <w:rFonts w:hint="eastAsia" w:ascii="仿宋" w:hAnsi="仿宋" w:eastAsia="仿宋" w:cs="仿宋"/>
          <w:b w:val="0"/>
          <w:i w:val="0"/>
          <w:color w:val="FF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比赛分为预赛和淘汰赛两阶段。预赛采用7轮瑞士制，预赛阶段各组别前8名进入决赛；淘汰赛采用单败淘汰制，如遇和棋加赛超快棋。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（三）64格采用巴西规则，指定开局</w:t>
      </w:r>
      <w:r>
        <w:rPr>
          <w:rStyle w:val="4"/>
          <w:rFonts w:hint="eastAsia" w:ascii="仿宋" w:hAnsi="仿宋" w:eastAsia="仿宋" w:cs="仿宋"/>
          <w:b w:val="0"/>
          <w:i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，双盘制，</w:t>
      </w: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记大分。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（四）比赛时限：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100格每方时限为60分钟，每步加15秒;64格时限为每方每盘30分钟，每步加10秒。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（五）</w:t>
      </w: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瑞士制阶段名次区</w:t>
      </w: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分办法：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区分名次依次按照棋手的得分-中间对手分-截断法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-对手分-赢棋数</w:t>
      </w: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，高者名次列前，若仍不能区分，则加赛超快</w:t>
      </w:r>
      <w:r>
        <w:rPr>
          <w:rStyle w:val="4"/>
          <w:rFonts w:hint="eastAsia" w:ascii="仿宋" w:hAnsi="仿宋" w:eastAsia="仿宋" w:cs="仿宋"/>
          <w:b w:val="0"/>
          <w:i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棋决出胜负。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Style w:val="4"/>
          <w:rFonts w:hint="eastAsia" w:ascii="仿宋" w:hAnsi="仿宋" w:eastAsia="仿宋" w:cs="仿宋"/>
          <w:b w:val="0"/>
          <w:i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九、日程安排：</w:t>
      </w:r>
    </w:p>
    <w:tbl>
      <w:tblPr>
        <w:tblStyle w:val="2"/>
        <w:tblpPr w:leftFromText="180" w:rightFromText="180" w:vertAnchor="text" w:horzAnchor="page" w:tblpX="2175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019"/>
        <w:gridCol w:w="211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8：30—12：00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14：30—18：00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19：00—22：00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6月24日</w:t>
            </w:r>
          </w:p>
        </w:tc>
        <w:tc>
          <w:tcPr>
            <w:tcW w:w="6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6月25日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赛第二轮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6月26日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赛第三轮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赛第四轮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赛第五轮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6月27日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赛第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预赛第七轮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四分之一决赛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半决赛 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决赛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48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121212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十、录取名次与奖励：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(一)录</w:t>
      </w: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取名次：各组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参赛运动员数在11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(含) 以上的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，录取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前8名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；不足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，录取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前6名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6至7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，录取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前3名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(二)奖励办法：前3名颁发奖牌。所有录取名次均颁发获奖证书。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default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(三)本次比赛计算中国国际跳棋协会棋手等级分与FMJD等级分，并可依据成绩申请</w:t>
      </w: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中国国际跳棋协会棋手技术等级称号。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十一、裁判和仲裁：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bCs w:val="0"/>
          <w:i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(一)</w:t>
      </w:r>
      <w:r>
        <w:rPr>
          <w:rStyle w:val="4"/>
          <w:rFonts w:hint="eastAsia" w:ascii="仿宋" w:hAnsi="仿宋" w:eastAsia="仿宋" w:cs="仿宋"/>
          <w:b w:val="0"/>
          <w:i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裁判长、副裁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判长、编排长、裁判员由主办单位选派。辅助裁判员由承办单位根据需要选派。</w:t>
      </w:r>
    </w:p>
    <w:p>
      <w:pPr>
        <w:ind w:firstLine="640" w:firstLineChars="200"/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(二</w:t>
      </w:r>
      <w:r>
        <w:rPr>
          <w:rStyle w:val="4"/>
          <w:rFonts w:hint="eastAsia" w:ascii="仿宋" w:hAnsi="仿宋" w:eastAsia="仿宋" w:cs="仿宋"/>
          <w:b w:val="0"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" w:hAnsi="仿宋" w:eastAsia="仿宋"/>
          <w:color w:val="auto"/>
          <w:sz w:val="32"/>
          <w:szCs w:val="32"/>
        </w:rPr>
        <w:t>比赛设立仲裁委员会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人员组成及职责范围按《仲裁委员会条例》执行。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十二、报名与报到：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Style w:val="4"/>
          <w:rFonts w:hint="eastAsia" w:ascii="仿宋" w:hAnsi="仿宋" w:eastAsia="仿宋" w:cs="仿宋"/>
          <w:b w:val="0"/>
          <w:bCs w:val="0"/>
          <w:i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各单位请于202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17:00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前将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加盖参赛单位公章的报名表扫描件、电子版以及住宿信息和缴费凭证同时发往中国国际跳棋协会邮箱zggjtqxh@126.com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联系人：张名璇，电话：010-87559183）和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承办单位邮箱634553822qq.com（联系人：袁琳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电话13872799785）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Hans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二）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Hans"/>
        </w:rPr>
        <w:t>报到事宜在“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中国国际跳棋协会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Hans"/>
        </w:rPr>
        <w:t>”微信公众号另行通知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十三、其他：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（一）参赛人员必须自行购买比赛期间意外伤害险，意外险执行时间为6月24日至29日，组委会将在报到时予以核验。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棋手须着正装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参加开闭幕式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参赛人员每轮比赛有录入棋谱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参与赛事直播的义务。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十四、未尽事宜另行通知。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十五、本规程解释权属于中国国际跳棋协会。</w:t>
      </w:r>
    </w:p>
    <w:p>
      <w:pPr>
        <w:snapToGrid/>
        <w:spacing w:before="0" w:beforeAutospacing="0" w:after="0" w:afterAutospacing="0" w:line="240" w:lineRule="auto"/>
        <w:jc w:val="both"/>
        <w:rPr>
          <w:rStyle w:val="4"/>
          <w:rFonts w:hint="eastAsia" w:ascii="仿宋" w:hAnsi="仿宋" w:eastAsia="仿宋" w:cs="仿宋"/>
          <w:b/>
          <w:bCs/>
          <w:i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</w:docVars>
  <w:rsids>
    <w:rsidRoot w:val="34371CCF"/>
    <w:rsid w:val="18593CE6"/>
    <w:rsid w:val="2AD21D24"/>
    <w:rsid w:val="34371CCF"/>
    <w:rsid w:val="562601EC"/>
    <w:rsid w:val="588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1235</Characters>
  <Lines>0</Lines>
  <Paragraphs>0</Paragraphs>
  <TotalTime>2</TotalTime>
  <ScaleCrop>false</ScaleCrop>
  <LinksUpToDate>false</LinksUpToDate>
  <CharactersWithSpaces>1243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2023-05-18T08:47:00Z</dcterms:created>
  <dc:creator>璇</dc:creator>
  <cp:lastModifiedBy>璇</cp:lastModifiedBy>
  <dcterms:modified xsi:type="dcterms:W3CDTF">2023-05-25T02:34:02Z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062EE37C64ED4BE1A25D09B07473E807_11</vt:lpwstr>
  </property>
</Properties>
</file>