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28"/>
          <w:lang w:val="en-US" w:eastAsia="zh-CN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bCs/>
          <w:color w:val="auto"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2"/>
        </w:rPr>
        <w:t>第十七届“威凯杯”全国象棋等级赛</w:t>
      </w:r>
    </w:p>
    <w:p>
      <w:pPr>
        <w:jc w:val="center"/>
        <w:rPr>
          <w:rFonts w:asciiTheme="majorEastAsia" w:hAnsiTheme="majorEastAsia" w:eastAsia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2"/>
        </w:rPr>
        <w:t>竞赛规程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主办单位</w:t>
      </w:r>
      <w:r>
        <w:rPr>
          <w:rFonts w:hint="eastAsia" w:ascii="仿宋" w:hAnsi="仿宋" w:eastAsia="仿宋"/>
          <w:color w:val="auto"/>
          <w:sz w:val="32"/>
          <w:szCs w:val="32"/>
        </w:rPr>
        <w:t>：国家体育总局棋牌运动管理中心、中国象棋协会、北京威凯建设发展有限责任公司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承办单位</w:t>
      </w:r>
      <w:r>
        <w:rPr>
          <w:rFonts w:hint="eastAsia" w:ascii="仿宋" w:hAnsi="仿宋" w:eastAsia="仿宋"/>
          <w:color w:val="auto"/>
          <w:sz w:val="32"/>
          <w:szCs w:val="32"/>
        </w:rPr>
        <w:t>：河北省体育局棋牌运动中心、张家口市体育局</w:t>
      </w:r>
    </w:p>
    <w:p>
      <w:pPr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三、协办单位</w:t>
      </w:r>
      <w:r>
        <w:rPr>
          <w:rFonts w:hint="eastAsia" w:ascii="仿宋" w:hAnsi="仿宋" w:eastAsia="仿宋"/>
          <w:color w:val="auto"/>
          <w:sz w:val="32"/>
          <w:szCs w:val="32"/>
        </w:rPr>
        <w:t>：北京威凯体育文化发展有限公司、北京京华智力科技有限公司、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河北旅投集团翠云山国际旅游度假区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四、比赛时间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2022年8月</w:t>
      </w:r>
      <w:r>
        <w:rPr>
          <w:rFonts w:ascii="仿宋" w:hAnsi="仿宋" w:eastAsia="仿宋" w:cs="方正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日至</w:t>
      </w:r>
      <w:r>
        <w:rPr>
          <w:rFonts w:ascii="仿宋" w:hAnsi="仿宋" w:eastAsia="仿宋" w:cs="方正仿宋_GB2312"/>
          <w:color w:val="auto"/>
          <w:sz w:val="32"/>
          <w:szCs w:val="32"/>
        </w:rPr>
        <w:t>26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五、比赛地点</w:t>
      </w:r>
      <w:r>
        <w:rPr>
          <w:rFonts w:hint="eastAsia" w:ascii="仿宋" w:hAnsi="仿宋" w:eastAsia="仿宋"/>
          <w:color w:val="auto"/>
          <w:sz w:val="32"/>
          <w:szCs w:val="32"/>
        </w:rPr>
        <w:t>：河北省张家口市崇礼区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六、竞赛项目</w:t>
      </w:r>
      <w:r>
        <w:rPr>
          <w:rFonts w:hint="eastAsia" w:ascii="仿宋" w:hAnsi="仿宋" w:eastAsia="仿宋"/>
          <w:color w:val="auto"/>
          <w:sz w:val="32"/>
          <w:szCs w:val="32"/>
        </w:rPr>
        <w:t>：男、女个人赛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七、参赛资格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方正仿宋_GB2312"/>
          <w:color w:val="auto"/>
          <w:sz w:val="32"/>
          <w:szCs w:val="32"/>
        </w:rPr>
        <w:t>（一）2022年度体育总局棋牌中心象棋项目各省级注册单位最多可报6人，其他注册单位及中国象棋协会批准单位最多可报2人（男、女不限）</w:t>
      </w:r>
      <w:r>
        <w:rPr>
          <w:rFonts w:hint="eastAsia" w:ascii="仿宋" w:hAnsi="仿宋" w:eastAsia="仿宋" w:cs="方正仿宋_GB2312"/>
          <w:color w:val="auto"/>
          <w:sz w:val="32"/>
          <w:szCs w:val="32"/>
          <w:lang w:eastAsia="zh-CN"/>
        </w:rPr>
        <w:t>，上述各参赛单位可报领队兼</w:t>
      </w:r>
      <w:r>
        <w:rPr>
          <w:rFonts w:hint="eastAsia" w:ascii="仿宋" w:hAnsi="仿宋" w:eastAsia="仿宋" w:cs="方正仿宋_GB2312"/>
          <w:color w:val="auto"/>
          <w:sz w:val="32"/>
          <w:szCs w:val="32"/>
          <w:lang w:val="en-US" w:eastAsia="zh-CN"/>
        </w:rPr>
        <w:t>教练1人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（二）身体健康，适宜参加本次比赛，年龄为45岁以下，1977年1月1日以后出生。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（三）男、女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一、二、三级</w:t>
      </w:r>
      <w:r>
        <w:rPr>
          <w:rFonts w:hint="eastAsia" w:ascii="仿宋" w:hAnsi="仿宋" w:eastAsia="仿宋"/>
          <w:color w:val="auto"/>
          <w:sz w:val="32"/>
          <w:szCs w:val="32"/>
        </w:rPr>
        <w:t>运动员或中国象棋协会地方大师（含）以上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color w:val="auto"/>
          <w:sz w:val="32"/>
          <w:szCs w:val="32"/>
        </w:rPr>
        <w:t>可报名参赛，报名须提供等级证明。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（四）凡通过本次比赛获得申报国家运动健将资格，但放弃申报者，此后三年内不得参加本项赛事。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八、比赛办法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（一）执行《象棋竞赛规则（2020版）》。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（二）比赛采用积分编排制，轮次根据报名人数确定。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（三）比赛用时：每方基本用时40分钟，每走一步加20秒。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九、录取名次及奖励办法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（一）男子组取前8名，女子组取前8名，给予奖励。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（二）男子组前6名和女子组前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名，分别取得2022年全国象棋锦标赛（个人）的参赛资格，参赛资格不顺延。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（三）可按照国家体育总局颁布最新的《象棋运动员技术等级标准》和中国象棋协会颁布的《象棋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棋手</w:t>
      </w:r>
      <w:r>
        <w:rPr>
          <w:rFonts w:hint="eastAsia" w:ascii="仿宋" w:hAnsi="仿宋" w:eastAsia="仿宋"/>
          <w:color w:val="auto"/>
          <w:sz w:val="32"/>
          <w:szCs w:val="32"/>
        </w:rPr>
        <w:t>技术等级管理办法》申请相应等级称号。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十、报名和报到办法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（一）报名：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2022年度体育总局棋牌中心象棋项目注册单位统一报名，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不接受个人报名。</w:t>
      </w:r>
      <w:r>
        <w:rPr>
          <w:rFonts w:hint="eastAsia" w:ascii="仿宋" w:hAnsi="仿宋" w:eastAsia="仿宋"/>
          <w:color w:val="auto"/>
          <w:sz w:val="32"/>
          <w:szCs w:val="32"/>
        </w:rPr>
        <w:t>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各参赛单位</w:t>
      </w:r>
      <w:r>
        <w:rPr>
          <w:rFonts w:hint="eastAsia" w:ascii="仿宋" w:hAnsi="仿宋" w:eastAsia="仿宋"/>
          <w:color w:val="auto"/>
          <w:sz w:val="32"/>
          <w:szCs w:val="32"/>
        </w:rPr>
        <w:t>于</w:t>
      </w:r>
      <w:r>
        <w:rPr>
          <w:rFonts w:ascii="仿宋" w:hAnsi="仿宋" w:eastAsia="仿宋" w:cs="方正仿宋_GB2312"/>
          <w:color w:val="auto"/>
          <w:sz w:val="32"/>
          <w:szCs w:val="32"/>
        </w:rPr>
        <w:t>8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月</w:t>
      </w:r>
      <w:r>
        <w:rPr>
          <w:rFonts w:ascii="仿宋" w:hAnsi="仿宋" w:eastAsia="仿宋" w:cs="方正仿宋_GB2312"/>
          <w:color w:val="auto"/>
          <w:sz w:val="32"/>
          <w:szCs w:val="32"/>
        </w:rPr>
        <w:t>10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日15点前</w:t>
      </w:r>
      <w:r>
        <w:rPr>
          <w:rFonts w:hint="eastAsia" w:ascii="仿宋" w:hAnsi="仿宋" w:eastAsia="仿宋"/>
          <w:color w:val="auto"/>
          <w:sz w:val="32"/>
          <w:szCs w:val="32"/>
        </w:rPr>
        <w:t>将加盖注册单位公章的报名表（见附件2）、参赛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color w:val="auto"/>
          <w:sz w:val="32"/>
          <w:szCs w:val="32"/>
        </w:rPr>
        <w:t>身份证正反面扫描件、技术等级证书扫描件发送至中国象棋协会邮箱：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zgxqbaoming@126.com</w:t>
      </w:r>
      <w:r>
        <w:rPr>
          <w:rFonts w:hint="eastAsia" w:ascii="仿宋" w:hAnsi="仿宋" w:eastAsia="仿宋"/>
          <w:color w:val="auto"/>
          <w:sz w:val="32"/>
          <w:szCs w:val="32"/>
        </w:rPr>
        <w:t>。报名邮件需注明：单位+威凯杯报名，逾期报名无效。联系人：叶中，电话：010-87559130。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.</w:t>
      </w:r>
      <w:r>
        <w:rPr>
          <w:rFonts w:hint="eastAsia" w:ascii="仿宋" w:hAnsi="仿宋" w:eastAsia="仿宋" w:cs="方正仿宋_GB2312"/>
          <w:color w:val="auto"/>
          <w:sz w:val="32"/>
          <w:szCs w:val="32"/>
          <w:lang w:val="en-US" w:eastAsia="zh-CN"/>
        </w:rPr>
        <w:t>报名结果将于8月15日在中国象棋协会服务平台（微信小程序搜索“中象协”）进行公示。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（二）报到：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1.报到时间：请参赛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color w:val="auto"/>
          <w:sz w:val="32"/>
          <w:szCs w:val="32"/>
        </w:rPr>
        <w:t>于</w:t>
      </w:r>
      <w:r>
        <w:rPr>
          <w:rFonts w:ascii="仿宋" w:hAnsi="仿宋" w:eastAsia="仿宋"/>
          <w:color w:val="auto"/>
          <w:sz w:val="32"/>
          <w:szCs w:val="32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ascii="仿宋" w:hAnsi="仿宋" w:eastAsia="仿宋"/>
          <w:color w:val="auto"/>
          <w:sz w:val="32"/>
          <w:szCs w:val="32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5时前向大会报到，因迟到未完成赛地核酸检测人员不能参赛。</w:t>
      </w:r>
    </w:p>
    <w:p>
      <w:pPr>
        <w:ind w:firstLine="640" w:firstLineChars="200"/>
        <w:rPr>
          <w:rFonts w:hint="eastAsia" w:ascii="仿宋" w:hAnsi="仿宋" w:eastAsia="仿宋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2312"/>
          <w:color w:val="auto"/>
          <w:sz w:val="32"/>
          <w:szCs w:val="32"/>
        </w:rPr>
        <w:t>2.报到地点：河北省张家口市崇礼区翠云山国际旅游度假区奥雪小镇</w:t>
      </w:r>
      <w:r>
        <w:rPr>
          <w:rFonts w:hint="eastAsia" w:ascii="仿宋" w:hAnsi="仿宋" w:eastAsia="仿宋" w:cs="方正仿宋_GB2312"/>
          <w:color w:val="auto"/>
          <w:sz w:val="32"/>
          <w:szCs w:val="32"/>
          <w:lang w:eastAsia="zh-CN"/>
        </w:rPr>
        <w:t>智选假日酒店。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全体到会人员</w:t>
      </w:r>
      <w:r>
        <w:rPr>
          <w:rFonts w:hint="eastAsia" w:ascii="仿宋" w:hAnsi="仿宋" w:eastAsia="仿宋"/>
          <w:color w:val="auto"/>
          <w:sz w:val="32"/>
          <w:szCs w:val="32"/>
        </w:rPr>
        <w:t>报到时需提供以下材料：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①参赛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color w:val="auto"/>
          <w:sz w:val="32"/>
          <w:szCs w:val="32"/>
        </w:rPr>
        <w:t>技术等级证书原件；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②人身意外伤害保险（纸质版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含比赛期间和往返途中）；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③48小时内核酸阴性检测报告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</w:rPr>
        <w:t>纸质版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河北</w:t>
      </w:r>
      <w:r>
        <w:rPr>
          <w:rFonts w:hint="eastAsia" w:ascii="仿宋" w:hAnsi="仿宋" w:eastAsia="仿宋"/>
          <w:color w:val="auto"/>
          <w:sz w:val="32"/>
          <w:szCs w:val="32"/>
        </w:rPr>
        <w:t>健康码绿码，行程卡为绿色；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⑤《疫情防控承诺书》（纸质版，见附件3）； 　　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⑥《诚信参赛承诺书》（纸质版，见附件4）；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注：要求各参赛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/>
          <w:color w:val="auto"/>
          <w:sz w:val="32"/>
          <w:szCs w:val="32"/>
        </w:rPr>
        <w:t>，在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微信小程序申领</w:t>
      </w:r>
      <w:r>
        <w:rPr>
          <w:rFonts w:hint="eastAsia" w:ascii="仿宋" w:hAnsi="仿宋" w:eastAsia="仿宋"/>
          <w:color w:val="auto"/>
          <w:sz w:val="32"/>
          <w:szCs w:val="32"/>
        </w:rPr>
        <w:t>“河北健康码”，按照流程实名进行认证后，如实填写申报信息获取“河北健康码”，“河北健康码”为绿色方可参加比赛,其它颜色不可参加比赛。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报到联系人：刘晓钰，1553030500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255"/>
          <w:numId w:val="0"/>
        </w:numPr>
        <w:ind w:left="420" w:leftChars="200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十一、裁判员、仲裁委员会和赛风赛纪委员会工作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（一）由中国象棋协会选派裁判长、副裁判长、仲裁和部分裁判员担任赛会工作。不足部分由承办单位选派，并于赛前15天将裁判员名单报中国象棋协会审核备案。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（二）设仲裁委员会，人员组成和职责范围按《仲裁委员会条例》执行。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（三）赛风赛纪委员会按《中国象棋协会纪律准则和处罚规定》负责处理参赛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和裁判员出现的赛风赛纪问题。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十二、经费</w:t>
      </w:r>
    </w:p>
    <w:p>
      <w:pPr>
        <w:ind w:firstLine="640" w:firstLineChars="200"/>
        <w:rPr>
          <w:rFonts w:hint="eastAsia" w:ascii="仿宋" w:hAnsi="仿宋" w:eastAsia="仿宋" w:cs="方正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方正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参赛运动员往返旅费、食宿费及赛事服务费自理</w:t>
      </w:r>
      <w:r>
        <w:rPr>
          <w:rFonts w:hint="eastAsia" w:ascii="仿宋" w:hAnsi="仿宋" w:eastAsia="仿宋" w:cs="方正仿宋_GB2312"/>
          <w:color w:val="auto"/>
          <w:sz w:val="32"/>
          <w:szCs w:val="32"/>
          <w:lang w:eastAsia="zh-CN"/>
        </w:rPr>
        <w:t>，相关标准如下：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方正仿宋_GB2312"/>
          <w:color w:val="auto"/>
          <w:sz w:val="32"/>
          <w:szCs w:val="32"/>
          <w:lang w:val="en-US" w:eastAsia="zh-CN"/>
        </w:rPr>
        <w:t>1.参赛运动员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每人交纳150元赛事服务费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2.参赛运动员及领队、教练</w:t>
      </w:r>
      <w:r>
        <w:rPr>
          <w:rFonts w:hint="eastAsia" w:ascii="仿宋" w:hAnsi="仿宋" w:eastAsia="仿宋" w:cs="方正仿宋_GB2312"/>
          <w:color w:val="auto"/>
          <w:sz w:val="32"/>
          <w:szCs w:val="32"/>
        </w:rPr>
        <w:t>食宿标准为：</w:t>
      </w:r>
      <w:r>
        <w:rPr>
          <w:rFonts w:hint="eastAsia" w:ascii="仿宋" w:hAnsi="仿宋" w:eastAsia="仿宋"/>
          <w:color w:val="auto"/>
          <w:sz w:val="32"/>
          <w:szCs w:val="32"/>
        </w:rPr>
        <w:t>标间（含三餐自助）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330元/人/天；单间（含三餐自助）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510元/人/天；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（二）比赛实行闭环管理，全体到会人员须接受大会统一安排食宿，费用自理，否则视为弃权。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请各参赛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单位（运动员）于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8月15日前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预定房间并缴费。报名以缴费为准（含赛事服务费和食宿费），未缴费视为报名无效。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请务必在报名表上注明预订房间类型，无注明则默认为标间；单间数量有限，预订单间运动员按报到顺序先到先得。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报到联系人：刘晓钰，1553030500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赛区联系人：闫丽娟，13831383358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账户名称：北京张体赛事管理有限公司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纳税人识别号：91110108MABP86N228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开户行名称：中国银行股份有限公司张家口市桥东支行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银行账号：101568345477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汇款后请务必与联系人确认。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十三、疫情防控</w:t>
      </w:r>
    </w:p>
    <w:p>
      <w:pPr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全体到会人员须按照《第十七届“威凯杯”全国象棋等级赛疫情防控工作方案》（见附件5）要求，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配合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核酸检测、闭环管理等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疫情防控工作，做到安全参赛。</w:t>
      </w:r>
    </w:p>
    <w:p>
      <w:pPr>
        <w:ind w:firstLine="640" w:firstLineChars="200"/>
        <w:rPr>
          <w:rFonts w:ascii="仿宋" w:hAnsi="仿宋" w:eastAsia="仿宋" w:cs="方正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十四、未尽事宜,另行通知。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十五、本规程解释权属国家体育总局棋牌运动管理中心。</w:t>
      </w:r>
    </w:p>
    <w:p>
      <w:pPr>
        <w:jc w:val="left"/>
        <w:rPr>
          <w:color w:val="auto"/>
          <w:sz w:val="28"/>
        </w:rPr>
      </w:pP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6C53FA-F3FC-4B33-9F58-889303E5F7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F838C2-21DF-42A1-B379-051DCC58B3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FA1FD8-1331-4D67-87AC-F25DCE66FE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- 1 -</w:t>
    </w:r>
    <w:r>
      <w:rPr>
        <w:rFonts w:ascii="仿宋" w:hAnsi="仿宋" w:eastAsia="仿宋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rFonts w:ascii="仿宋" w:hAnsi="仿宋" w:eastAsia="仿宋"/>
        <w:sz w:val="24"/>
        <w:szCs w:val="21"/>
      </w:rPr>
      <w:fldChar w:fldCharType="begin"/>
    </w:r>
    <w:r>
      <w:rPr>
        <w:rFonts w:ascii="仿宋" w:hAnsi="仿宋" w:eastAsia="仿宋"/>
        <w:sz w:val="24"/>
        <w:szCs w:val="21"/>
      </w:rPr>
      <w:instrText xml:space="preserve"> PAGE </w:instrText>
    </w:r>
    <w:r>
      <w:rPr>
        <w:rFonts w:ascii="仿宋" w:hAnsi="仿宋" w:eastAsia="仿宋"/>
        <w:sz w:val="24"/>
        <w:szCs w:val="21"/>
      </w:rPr>
      <w:fldChar w:fldCharType="separate"/>
    </w:r>
    <w:r>
      <w:rPr>
        <w:rFonts w:ascii="仿宋" w:hAnsi="仿宋" w:eastAsia="仿宋"/>
        <w:sz w:val="24"/>
        <w:szCs w:val="21"/>
      </w:rPr>
      <w:t>- 2 -</w:t>
    </w:r>
    <w:r>
      <w:rPr>
        <w:rFonts w:ascii="仿宋" w:hAnsi="仿宋" w:eastAsia="仿宋"/>
        <w:sz w:val="24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35F4D"/>
    <w:multiLevelType w:val="singleLevel"/>
    <w:tmpl w:val="93135F4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00035235"/>
    <w:rsid w:val="00035235"/>
    <w:rsid w:val="00327563"/>
    <w:rsid w:val="003451D0"/>
    <w:rsid w:val="004130E9"/>
    <w:rsid w:val="00445B53"/>
    <w:rsid w:val="004D6DA1"/>
    <w:rsid w:val="007D7874"/>
    <w:rsid w:val="009625CB"/>
    <w:rsid w:val="00967D00"/>
    <w:rsid w:val="00D6155B"/>
    <w:rsid w:val="00F4138C"/>
    <w:rsid w:val="00F94446"/>
    <w:rsid w:val="01BF226E"/>
    <w:rsid w:val="01F406E4"/>
    <w:rsid w:val="05284117"/>
    <w:rsid w:val="11367F3D"/>
    <w:rsid w:val="17720A3E"/>
    <w:rsid w:val="21CB1631"/>
    <w:rsid w:val="26FC3E21"/>
    <w:rsid w:val="29600EC3"/>
    <w:rsid w:val="34757217"/>
    <w:rsid w:val="3A6030FC"/>
    <w:rsid w:val="45066C07"/>
    <w:rsid w:val="45A120DB"/>
    <w:rsid w:val="4F1C5E74"/>
    <w:rsid w:val="51E06B95"/>
    <w:rsid w:val="54590B80"/>
    <w:rsid w:val="5D7B47B5"/>
    <w:rsid w:val="5E490F89"/>
    <w:rsid w:val="702526EB"/>
    <w:rsid w:val="70705D3B"/>
    <w:rsid w:val="79780492"/>
    <w:rsid w:val="7B476AD1"/>
    <w:rsid w:val="7E236303"/>
    <w:rsid w:val="7E7D4861"/>
    <w:rsid w:val="ADE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1797</Words>
  <Characters>1929</Characters>
  <Lines>14</Lines>
  <Paragraphs>3</Paragraphs>
  <TotalTime>39</TotalTime>
  <ScaleCrop>false</ScaleCrop>
  <LinksUpToDate>false</LinksUpToDate>
  <CharactersWithSpaces>1932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2021-10-24T20:14:00Z</dcterms:created>
  <dc:creator>an f</dc:creator>
  <cp:lastModifiedBy>❛˓◞˂̵✧</cp:lastModifiedBy>
  <cp:lastPrinted>2022-08-01T07:27:00Z</cp:lastPrinted>
  <dcterms:modified xsi:type="dcterms:W3CDTF">2022-08-04T05:14:45Z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CAFBDCAB999F4FE39BEAF0C5BC074099</vt:lpwstr>
  </property>
</Properties>
</file>