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年全国国际跳棋青少年锦标赛竞赛规程</w:t>
      </w:r>
    </w:p>
    <w:p>
      <w:pPr>
        <w:jc w:val="center"/>
        <w:textAlignment w:val="baseline"/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一、主办单位：</w:t>
      </w:r>
    </w:p>
    <w:p>
      <w:pPr>
        <w:ind w:left="630" w:leftChars="3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国家体育总局棋牌运动管理中心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中国国际跳棋协会</w:t>
      </w:r>
    </w:p>
    <w:p>
      <w:pPr>
        <w:numPr>
          <w:ilvl w:val="0"/>
          <w:numId w:val="0"/>
        </w:num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承办单位：</w:t>
      </w:r>
    </w:p>
    <w:p>
      <w:pPr>
        <w:ind w:left="630" w:leftChars="3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太原市迎泽区卫生健康和体育局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太原市迎泽区棋牌协会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支持单位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left="630" w:leftChars="3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太原市体育局</w:t>
      </w:r>
    </w:p>
    <w:p>
      <w:pPr>
        <w:ind w:left="630" w:leftChars="3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民革太原市委会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华舰智运体育文化（山西）有限责任公司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太原市国际跳棋协会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四、比赛时间和地点：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2022年8月9—12日山西省太原市（9日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点前报到）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五、 比赛项目及分组</w:t>
      </w:r>
    </w:p>
    <w:tbl>
      <w:tblPr>
        <w:tblStyle w:val="5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00AAB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224"/>
        <w:gridCol w:w="1795"/>
        <w:gridCol w:w="39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0AAB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7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0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22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年龄段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0AAB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100格</w:t>
            </w:r>
          </w:p>
        </w:tc>
        <w:tc>
          <w:tcPr>
            <w:tcW w:w="71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男子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女子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岁组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2015年1月1日后出生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0AAB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1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U11岁组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-2014年12月31日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0AAB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1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U14岁组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-2011年12月31日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1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U17岁组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-2008年12月31日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35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U20岁组</w:t>
            </w:r>
          </w:p>
        </w:tc>
        <w:tc>
          <w:tcPr>
            <w:tcW w:w="229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-2005年12月31日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0AAB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64格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男子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女子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同上</w:t>
            </w:r>
          </w:p>
        </w:tc>
        <w:tc>
          <w:tcPr>
            <w:tcW w:w="2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同上</w:t>
            </w:r>
          </w:p>
        </w:tc>
      </w:tr>
    </w:tbl>
    <w:p>
      <w:pPr>
        <w:numPr>
          <w:ilvl w:val="0"/>
          <w:numId w:val="0"/>
        </w:numPr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参赛单位：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各省、自治区、直辖市、计划单列市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体育局棋牌管理部门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行业体协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省级国际跳棋协会，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中国棋院杭州分院统一报名参赛。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七、比赛办法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（一）比赛采用中国国际跳棋协会最新印发的《中国国际跳棋竞赛规则（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）》。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（二）比赛赛制和轮数视参赛人数确定。若任何组别的参赛人数不足8人,组委会有权取消该组别。原则上各组比赛不超过9轮。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（三）64格采用巴西规则，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U8和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U11岁组平行开局，U14、U17、U20岁组指定开局。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（四）比赛时限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1.100格组：每方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0分钟，每走一步加15秒。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2.64格组：每方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每走一步加10秒，每轮双盘制。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（五）区分名次办法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区分名次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依次按照棋手的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得分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中间对手分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截断法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对手分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赢棋数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高者名次列前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若仍不能区分，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加赛超快棋决出胜负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八、录取名次与奖励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（一）各组录取前8名，前三名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发奖牌和获奖证书，四至八名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颁发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获奖证书。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（二）参赛选手可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参照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《中国国际跳棋协会棋手技术等级标准（2017版）》申请相应的技术等级称号。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裁判与仲裁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（一）裁判长、副裁判长、编排长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主要裁判员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由主办单位选派，其他裁判员由承办单位根据精干原则从当地选派。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（二）比赛设仲裁委员会，由主办单位、承办单位和参赛队有关人员组成。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（三）如对比赛裁决有异议，可由本队领队以书面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形式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向仲裁委员会提请仲裁。提请仲裁的单位须交纳仲裁费500元，胜诉后退回。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十、报名与报到</w:t>
      </w:r>
    </w:p>
    <w:p>
      <w:pPr>
        <w:textAlignment w:val="baseline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即日起开始报名，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8月4日19:00为报名截止期。组委会可根据房间数订满提前截止。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）报名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将加盖参赛单位公章的报名表扫描件和电子版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分别发往中国国际跳棋协会和承办单位。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中国国际跳棋协会联系方式：</w:t>
      </w:r>
    </w:p>
    <w:p>
      <w:pPr>
        <w:ind w:firstLine="640" w:firstLineChars="200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联系人：陈浩   电话：010-87559185 ，电子邮箱：zggjtqxh@126.com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承办单位联系方式：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13834207962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，电子邮箱：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"mailto:yzqqpxh@163.com。"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yzqqpxh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报名截止前未提交正式报名表和未汇款的视为报名无效。报名情况将每天在“太原市迎泽区棋牌协会”微信公众号进行公示。</w:t>
      </w:r>
    </w:p>
    <w:p>
      <w:pPr>
        <w:numPr>
          <w:ilvl w:val="0"/>
          <w:numId w:val="2"/>
        </w:numPr>
        <w:ind w:left="480" w:leftChars="0" w:firstLine="0" w:firstLineChars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报到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1.参赛人员须于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8月9日14:00前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报到。（超过报到时间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无法按时参加统一核酸的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，组委会可拒绝参赛。）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2.各队领队须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晚上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参加技术会议，通报有关情况并核实本队参赛人员名单。</w:t>
      </w: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3.报到地点：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山西省太原市坤泽康养公寓（小店区马练营路89号）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十一、比赛经费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（一）所有比赛选手免参赛费，其他费用自理。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所有参赛人员均需统一在指定酒店食宿，实行封闭管理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未报名的人员不得进入比赛酒店，比赛期间不办理退宿退伙。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比赛酒店：食宿费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/人/天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付款方式：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转账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账户名称：张洋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账户号码：4563513500011717339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开户银行：中国银行太原西城支行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联系电话：13834207962</w:t>
      </w:r>
    </w:p>
    <w:p>
      <w:pPr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）比赛期间，组委会为每名选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手提供人身意外伤害保险，请确认报名表所填信息正确无误。</w:t>
      </w:r>
    </w:p>
    <w:p>
      <w:pPr>
        <w:textAlignment w:val="baseline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疫情防控要求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全部到会人员需按照属地政府相关部门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，配合做好核酸检测、闭环管理等疫情防控措施。具体要求根据属地政府部门规定执行，有关要求另行通知。</w:t>
      </w:r>
    </w:p>
    <w:p>
      <w:pPr>
        <w:numPr>
          <w:ilvl w:val="0"/>
          <w:numId w:val="3"/>
        </w:num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未尽事宜，另行通知。</w:t>
      </w:r>
    </w:p>
    <w:p>
      <w:pPr>
        <w:numPr>
          <w:ilvl w:val="0"/>
          <w:numId w:val="3"/>
        </w:num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本规程由中国国际跳棋协会负责解释。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C80AA"/>
    <w:multiLevelType w:val="singleLevel"/>
    <w:tmpl w:val="899C80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E6BF75"/>
    <w:multiLevelType w:val="singleLevel"/>
    <w:tmpl w:val="C5E6BF75"/>
    <w:lvl w:ilvl="0" w:tentative="0">
      <w:start w:val="3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687324CE"/>
    <w:multiLevelType w:val="singleLevel"/>
    <w:tmpl w:val="687324CE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YTg1NmFjNDZkZTFmMGY4YzU5MmJiNWQ0MWM5YjgifQ=="/>
  </w:docVars>
  <w:rsids>
    <w:rsidRoot w:val="00C00DCA"/>
    <w:rsid w:val="00007A3B"/>
    <w:rsid w:val="00043BCA"/>
    <w:rsid w:val="00056A29"/>
    <w:rsid w:val="00065882"/>
    <w:rsid w:val="000D68AB"/>
    <w:rsid w:val="0016684B"/>
    <w:rsid w:val="001C1DC4"/>
    <w:rsid w:val="00297972"/>
    <w:rsid w:val="004570E4"/>
    <w:rsid w:val="00520372"/>
    <w:rsid w:val="0058608A"/>
    <w:rsid w:val="005B1851"/>
    <w:rsid w:val="006260D2"/>
    <w:rsid w:val="00635A18"/>
    <w:rsid w:val="006D38BF"/>
    <w:rsid w:val="006D48B8"/>
    <w:rsid w:val="00704473"/>
    <w:rsid w:val="007D6166"/>
    <w:rsid w:val="00855C7D"/>
    <w:rsid w:val="00875D16"/>
    <w:rsid w:val="008A3A55"/>
    <w:rsid w:val="008B718F"/>
    <w:rsid w:val="008D0BD6"/>
    <w:rsid w:val="00983A89"/>
    <w:rsid w:val="0099208E"/>
    <w:rsid w:val="009945F0"/>
    <w:rsid w:val="009F2625"/>
    <w:rsid w:val="00A41BFB"/>
    <w:rsid w:val="00A723E2"/>
    <w:rsid w:val="00AD2583"/>
    <w:rsid w:val="00BA4E07"/>
    <w:rsid w:val="00BC0F37"/>
    <w:rsid w:val="00BD313C"/>
    <w:rsid w:val="00C00DCA"/>
    <w:rsid w:val="00C1719F"/>
    <w:rsid w:val="00C90FA2"/>
    <w:rsid w:val="00CE6509"/>
    <w:rsid w:val="00CF09EE"/>
    <w:rsid w:val="00D21B3A"/>
    <w:rsid w:val="00D5700D"/>
    <w:rsid w:val="00D746B5"/>
    <w:rsid w:val="00E865CC"/>
    <w:rsid w:val="00ED3538"/>
    <w:rsid w:val="00F13CD7"/>
    <w:rsid w:val="00F613EE"/>
    <w:rsid w:val="073461D5"/>
    <w:rsid w:val="0AAA3A78"/>
    <w:rsid w:val="0CDB1753"/>
    <w:rsid w:val="139A24AC"/>
    <w:rsid w:val="142B6A9A"/>
    <w:rsid w:val="149A00DC"/>
    <w:rsid w:val="175336D9"/>
    <w:rsid w:val="18A323BF"/>
    <w:rsid w:val="1ADD6B9F"/>
    <w:rsid w:val="20BD5AB0"/>
    <w:rsid w:val="274E630F"/>
    <w:rsid w:val="28386959"/>
    <w:rsid w:val="2AD22798"/>
    <w:rsid w:val="2C5108E4"/>
    <w:rsid w:val="2EAB20A7"/>
    <w:rsid w:val="2FA60D71"/>
    <w:rsid w:val="30211AB3"/>
    <w:rsid w:val="3B5F043C"/>
    <w:rsid w:val="3CF164A4"/>
    <w:rsid w:val="46252B41"/>
    <w:rsid w:val="4A253F1B"/>
    <w:rsid w:val="54600866"/>
    <w:rsid w:val="580E2DE9"/>
    <w:rsid w:val="5B500974"/>
    <w:rsid w:val="5E83687A"/>
    <w:rsid w:val="6030464F"/>
    <w:rsid w:val="610A62B7"/>
    <w:rsid w:val="642B1104"/>
    <w:rsid w:val="6A37004B"/>
    <w:rsid w:val="6A8B2B69"/>
    <w:rsid w:val="7E5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1414</Words>
  <Characters>1596</Characters>
  <Lines>14</Lines>
  <Paragraphs>4</Paragraphs>
  <TotalTime>13</TotalTime>
  <ScaleCrop>false</ScaleCrop>
  <LinksUpToDate>false</LinksUpToDate>
  <CharactersWithSpaces>1609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2021-07-28T01:51:00Z</dcterms:created>
  <dc:creator>Administrator</dc:creator>
  <cp:lastModifiedBy>qpzx</cp:lastModifiedBy>
  <cp:lastPrinted>2022-07-29T06:57:01Z</cp:lastPrinted>
  <dcterms:modified xsi:type="dcterms:W3CDTF">2022-07-29T07:05:33Z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6254A249B4F144ACA3A66093D007D1E7</vt:lpwstr>
  </property>
</Properties>
</file>