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国际跳棋赛场行为规范管理实施细则</w:t>
      </w:r>
    </w:p>
    <w:p>
      <w:pPr>
        <w:keepNext w:val="0"/>
        <w:keepLines w:val="0"/>
        <w:pageBreakBefore w:val="0"/>
        <w:widowControl w:val="0"/>
        <w:kinsoku/>
        <w:wordWrap/>
        <w:overflowPunct/>
        <w:topLinePunct w:val="0"/>
        <w:autoSpaceDE/>
        <w:autoSpaceDN/>
        <w:bidi w:val="0"/>
        <w:adjustRightInd/>
        <w:snapToGrid/>
        <w:spacing w:before="240" w:after="240" w:line="480" w:lineRule="auto"/>
        <w:ind w:left="0" w:right="0" w:firstLine="0" w:firstLineChars="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w:t>
      </w:r>
      <w:r>
        <w:rPr>
          <w:rFonts w:hint="eastAsia" w:ascii="宋体" w:hAnsi="宋体" w:eastAsia="宋体" w:cs="宋体"/>
          <w:b/>
          <w:bCs/>
          <w:sz w:val="32"/>
          <w:szCs w:val="32"/>
          <w:lang w:val="en-US" w:eastAsia="zh-CN"/>
        </w:rPr>
        <w:t>征求意见稿</w:t>
      </w:r>
      <w:r>
        <w:rPr>
          <w:rFonts w:hint="eastAsia" w:ascii="宋体" w:hAnsi="宋体" w:eastAsia="宋体" w:cs="宋体"/>
          <w:b/>
          <w:bCs/>
          <w:sz w:val="32"/>
          <w:szCs w:val="32"/>
        </w:rPr>
        <w:t>）</w:t>
      </w:r>
    </w:p>
    <w:p>
      <w:pPr>
        <w:pStyle w:val="9"/>
        <w:keepNext w:val="0"/>
        <w:keepLines w:val="0"/>
        <w:pageBreakBefore w:val="0"/>
        <w:numPr>
          <w:ilvl w:val="0"/>
          <w:numId w:val="1"/>
        </w:numPr>
        <w:kinsoku/>
        <w:wordWrap/>
        <w:overflowPunct/>
        <w:topLinePunct w:val="0"/>
        <w:autoSpaceDE/>
        <w:autoSpaceDN/>
        <w:bidi w:val="0"/>
        <w:adjustRightInd/>
        <w:snapToGrid w:val="0"/>
        <w:spacing w:line="600" w:lineRule="exact"/>
        <w:ind w:left="0" w:leftChars="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为进一步</w:t>
      </w:r>
      <w:r>
        <w:rPr>
          <w:rFonts w:hint="eastAsia" w:ascii="仿宋_GB2312" w:hAnsi="仿宋_GB2312" w:eastAsia="仿宋_GB2312" w:cs="仿宋_GB2312"/>
          <w:sz w:val="32"/>
          <w:szCs w:val="32"/>
          <w:highlight w:val="none"/>
          <w:lang w:val="en-US" w:eastAsia="zh-CN"/>
        </w:rPr>
        <w:t>对国际跳棋</w:t>
      </w:r>
      <w:r>
        <w:rPr>
          <w:rFonts w:hint="eastAsia" w:ascii="仿宋_GB2312" w:hAnsi="仿宋_GB2312" w:eastAsia="仿宋_GB2312" w:cs="仿宋_GB2312"/>
          <w:sz w:val="32"/>
          <w:szCs w:val="32"/>
          <w:highlight w:val="none"/>
        </w:rPr>
        <w:t>赛场行为</w:t>
      </w:r>
      <w:r>
        <w:rPr>
          <w:rFonts w:hint="eastAsia" w:ascii="仿宋_GB2312" w:hAnsi="仿宋_GB2312" w:eastAsia="仿宋_GB2312" w:cs="仿宋_GB2312"/>
          <w:sz w:val="32"/>
          <w:szCs w:val="32"/>
          <w:highlight w:val="none"/>
          <w:lang w:val="en-US" w:eastAsia="zh-CN"/>
        </w:rPr>
        <w:t>实施规范管理</w:t>
      </w:r>
      <w:r>
        <w:rPr>
          <w:rFonts w:hint="eastAsia" w:ascii="仿宋_GB2312" w:hAnsi="仿宋_GB2312" w:eastAsia="仿宋_GB2312" w:cs="仿宋_GB2312"/>
          <w:sz w:val="32"/>
          <w:szCs w:val="32"/>
          <w:highlight w:val="none"/>
        </w:rPr>
        <w:t>，确保</w:t>
      </w:r>
      <w:r>
        <w:rPr>
          <w:rFonts w:hint="eastAsia" w:ascii="仿宋_GB2312" w:hAnsi="仿宋_GB2312" w:eastAsia="仿宋_GB2312" w:cs="仿宋_GB2312"/>
          <w:sz w:val="32"/>
          <w:szCs w:val="32"/>
          <w:highlight w:val="none"/>
          <w:lang w:val="en-US" w:eastAsia="zh-CN"/>
        </w:rPr>
        <w:t>国际跳棋</w:t>
      </w:r>
      <w:r>
        <w:rPr>
          <w:rFonts w:hint="eastAsia" w:ascii="仿宋_GB2312" w:hAnsi="仿宋_GB2312" w:eastAsia="仿宋_GB2312" w:cs="仿宋_GB2312"/>
          <w:sz w:val="32"/>
          <w:szCs w:val="32"/>
          <w:highlight w:val="none"/>
        </w:rPr>
        <w:t>赛事活动安全、有序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文明</w:t>
      </w:r>
      <w:r>
        <w:rPr>
          <w:rFonts w:hint="eastAsia" w:ascii="仿宋_GB2312" w:hAnsi="仿宋_GB2312" w:eastAsia="仿宋_GB2312" w:cs="仿宋_GB2312"/>
          <w:sz w:val="32"/>
          <w:szCs w:val="32"/>
          <w:highlight w:val="none"/>
        </w:rPr>
        <w:t>开展，根据《国家体育总局公安部关于加强体育赛场行为规范管理的若干意见》，制定本实施细则。</w:t>
      </w:r>
    </w:p>
    <w:p>
      <w:pPr>
        <w:pStyle w:val="9"/>
        <w:keepNext w:val="0"/>
        <w:keepLines w:val="0"/>
        <w:pageBreakBefore w:val="0"/>
        <w:numPr>
          <w:ilvl w:val="0"/>
          <w:numId w:val="1"/>
        </w:numPr>
        <w:kinsoku/>
        <w:wordWrap/>
        <w:overflowPunct/>
        <w:topLinePunct w:val="0"/>
        <w:autoSpaceDE/>
        <w:autoSpaceDN/>
        <w:bidi w:val="0"/>
        <w:adjustRightInd/>
        <w:snapToGrid w:val="0"/>
        <w:spacing w:line="600" w:lineRule="exact"/>
        <w:ind w:left="0" w:leftChars="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在中国境内举办的由国家体育总局</w:t>
      </w:r>
      <w:r>
        <w:rPr>
          <w:rFonts w:hint="eastAsia" w:ascii="仿宋_GB2312" w:hAnsi="仿宋_GB2312" w:eastAsia="仿宋_GB2312" w:cs="仿宋_GB2312"/>
          <w:sz w:val="32"/>
          <w:szCs w:val="32"/>
          <w:highlight w:val="none"/>
          <w:lang w:val="en-US" w:eastAsia="zh-CN"/>
        </w:rPr>
        <w:t>棋牌运动管理中心</w:t>
      </w:r>
      <w:r>
        <w:rPr>
          <w:rFonts w:hint="eastAsia" w:ascii="仿宋_GB2312" w:hAnsi="仿宋_GB2312" w:eastAsia="仿宋_GB2312" w:cs="仿宋_GB2312"/>
          <w:sz w:val="32"/>
          <w:szCs w:val="32"/>
          <w:highlight w:val="none"/>
        </w:rPr>
        <w:t>或中国</w:t>
      </w:r>
      <w:r>
        <w:rPr>
          <w:rFonts w:hint="eastAsia" w:ascii="仿宋_GB2312" w:hAnsi="仿宋_GB2312" w:eastAsia="仿宋_GB2312" w:cs="仿宋_GB2312"/>
          <w:sz w:val="32"/>
          <w:szCs w:val="32"/>
          <w:highlight w:val="none"/>
          <w:lang w:val="en-US" w:eastAsia="zh-CN"/>
        </w:rPr>
        <w:t>国际跳棋</w:t>
      </w:r>
      <w:r>
        <w:rPr>
          <w:rFonts w:hint="eastAsia" w:ascii="仿宋_GB2312" w:hAnsi="仿宋_GB2312" w:eastAsia="仿宋_GB2312" w:cs="仿宋_GB2312"/>
          <w:sz w:val="32"/>
          <w:szCs w:val="32"/>
          <w:highlight w:val="none"/>
        </w:rPr>
        <w:t>协会主办、</w:t>
      </w:r>
      <w:r>
        <w:rPr>
          <w:rFonts w:hint="eastAsia" w:ascii="仿宋_GB2312" w:hAnsi="仿宋_GB2312" w:eastAsia="仿宋_GB2312" w:cs="仿宋_GB2312"/>
          <w:sz w:val="32"/>
          <w:szCs w:val="32"/>
          <w:highlight w:val="none"/>
          <w:lang w:val="en-US" w:eastAsia="zh-CN"/>
        </w:rPr>
        <w:t>联合</w:t>
      </w:r>
      <w:r>
        <w:rPr>
          <w:rFonts w:hint="eastAsia" w:ascii="仿宋_GB2312" w:hAnsi="仿宋_GB2312" w:eastAsia="仿宋_GB2312" w:cs="仿宋_GB2312"/>
          <w:sz w:val="32"/>
          <w:szCs w:val="32"/>
          <w:highlight w:val="none"/>
        </w:rPr>
        <w:t>主办、指导举办的</w:t>
      </w:r>
      <w:r>
        <w:rPr>
          <w:rFonts w:hint="eastAsia" w:ascii="仿宋_GB2312" w:hAnsi="仿宋_GB2312" w:eastAsia="仿宋_GB2312" w:cs="仿宋_GB2312"/>
          <w:sz w:val="32"/>
          <w:szCs w:val="32"/>
          <w:highlight w:val="none"/>
          <w:lang w:val="en-US" w:eastAsia="zh-CN"/>
        </w:rPr>
        <w:t>国际跳棋</w:t>
      </w:r>
      <w:r>
        <w:rPr>
          <w:rFonts w:hint="eastAsia" w:ascii="仿宋_GB2312" w:hAnsi="仿宋_GB2312" w:eastAsia="仿宋_GB2312" w:cs="仿宋_GB2312"/>
          <w:sz w:val="32"/>
          <w:szCs w:val="32"/>
          <w:highlight w:val="none"/>
        </w:rPr>
        <w:t>赛事活动适用本《细则》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各级各类</w:t>
      </w:r>
      <w:r>
        <w:rPr>
          <w:rFonts w:hint="eastAsia" w:ascii="仿宋_GB2312" w:hAnsi="仿宋_GB2312" w:eastAsia="仿宋_GB2312" w:cs="仿宋_GB2312"/>
          <w:sz w:val="32"/>
          <w:szCs w:val="32"/>
          <w:highlight w:val="none"/>
          <w:lang w:val="en-US" w:eastAsia="zh-CN"/>
        </w:rPr>
        <w:t>国际跳棋</w:t>
      </w:r>
      <w:r>
        <w:rPr>
          <w:rFonts w:hint="eastAsia" w:ascii="仿宋_GB2312" w:hAnsi="仿宋_GB2312" w:eastAsia="仿宋_GB2312" w:cs="仿宋_GB2312"/>
          <w:sz w:val="32"/>
          <w:szCs w:val="32"/>
          <w:highlight w:val="none"/>
        </w:rPr>
        <w:t>赛事活动</w:t>
      </w:r>
      <w:r>
        <w:rPr>
          <w:rFonts w:hint="eastAsia" w:ascii="仿宋_GB2312" w:hAnsi="仿宋_GB2312" w:eastAsia="仿宋_GB2312" w:cs="仿宋_GB2312"/>
          <w:sz w:val="32"/>
          <w:szCs w:val="32"/>
          <w:highlight w:val="none"/>
          <w:lang w:val="en-US" w:eastAsia="zh-CN"/>
        </w:rPr>
        <w:t>可参照</w:t>
      </w:r>
      <w:r>
        <w:rPr>
          <w:rFonts w:hint="eastAsia" w:ascii="仿宋_GB2312" w:hAnsi="仿宋_GB2312" w:eastAsia="仿宋_GB2312" w:cs="仿宋_GB2312"/>
          <w:sz w:val="32"/>
          <w:szCs w:val="32"/>
          <w:highlight w:val="none"/>
        </w:rPr>
        <w:t>本《细则》</w:t>
      </w:r>
      <w:r>
        <w:rPr>
          <w:rFonts w:hint="eastAsia" w:ascii="仿宋_GB2312" w:hAnsi="仿宋_GB2312" w:eastAsia="仿宋_GB2312" w:cs="仿宋_GB2312"/>
          <w:sz w:val="32"/>
          <w:szCs w:val="32"/>
          <w:highlight w:val="none"/>
          <w:lang w:val="en-US" w:eastAsia="zh-CN"/>
        </w:rPr>
        <w:t>执行</w:t>
      </w:r>
      <w:r>
        <w:rPr>
          <w:rFonts w:hint="eastAsia" w:ascii="仿宋_GB2312" w:hAnsi="仿宋_GB2312" w:eastAsia="仿宋_GB2312" w:cs="仿宋_GB2312"/>
          <w:sz w:val="32"/>
          <w:szCs w:val="32"/>
          <w:highlight w:val="none"/>
        </w:rPr>
        <w:t>。</w:t>
      </w:r>
    </w:p>
    <w:p>
      <w:pPr>
        <w:pStyle w:val="9"/>
        <w:keepNext w:val="0"/>
        <w:keepLines w:val="0"/>
        <w:pageBreakBefore w:val="0"/>
        <w:numPr>
          <w:ilvl w:val="0"/>
          <w:numId w:val="1"/>
        </w:numPr>
        <w:kinsoku/>
        <w:wordWrap/>
        <w:overflowPunct/>
        <w:topLinePunct w:val="0"/>
        <w:autoSpaceDE/>
        <w:autoSpaceDN/>
        <w:bidi w:val="0"/>
        <w:adjustRightInd/>
        <w:snapToGrid w:val="0"/>
        <w:spacing w:line="600" w:lineRule="exact"/>
        <w:ind w:left="0" w:leftChars="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参加</w:t>
      </w:r>
      <w:r>
        <w:rPr>
          <w:rFonts w:hint="eastAsia" w:ascii="仿宋_GB2312" w:hAnsi="仿宋_GB2312" w:eastAsia="仿宋_GB2312" w:cs="仿宋_GB2312"/>
          <w:sz w:val="32"/>
          <w:szCs w:val="32"/>
          <w:highlight w:val="none"/>
          <w:lang w:val="en-US" w:eastAsia="zh-CN"/>
        </w:rPr>
        <w:t>国际跳棋</w:t>
      </w:r>
      <w:r>
        <w:rPr>
          <w:rFonts w:hint="eastAsia" w:ascii="仿宋_GB2312" w:hAnsi="仿宋_GB2312" w:eastAsia="仿宋_GB2312" w:cs="仿宋_GB2312"/>
          <w:sz w:val="32"/>
          <w:szCs w:val="32"/>
          <w:highlight w:val="none"/>
        </w:rPr>
        <w:t>赛事活动的组织者（包括主办方、承办方和协办方）、参与人员（运动员、教练员、裁判员、运动队辅助人员、组织者工作人员等）与观众等群体，应当遵守本《细则》和相关</w:t>
      </w:r>
      <w:r>
        <w:rPr>
          <w:rFonts w:hint="eastAsia" w:ascii="仿宋_GB2312" w:hAnsi="仿宋_GB2312" w:eastAsia="仿宋_GB2312" w:cs="仿宋_GB2312"/>
          <w:sz w:val="32"/>
          <w:szCs w:val="32"/>
          <w:highlight w:val="none"/>
          <w:lang w:val="en-US" w:eastAsia="zh-CN"/>
        </w:rPr>
        <w:t>具体</w:t>
      </w:r>
      <w:r>
        <w:rPr>
          <w:rFonts w:hint="eastAsia" w:ascii="仿宋_GB2312" w:hAnsi="仿宋_GB2312" w:eastAsia="仿宋_GB2312" w:cs="仿宋_GB2312"/>
          <w:sz w:val="32"/>
          <w:szCs w:val="32"/>
          <w:highlight w:val="none"/>
        </w:rPr>
        <w:t>管理</w:t>
      </w:r>
      <w:r>
        <w:rPr>
          <w:rFonts w:hint="eastAsia" w:ascii="仿宋_GB2312" w:hAnsi="仿宋_GB2312" w:eastAsia="仿宋_GB2312" w:cs="仿宋_GB2312"/>
          <w:sz w:val="32"/>
          <w:szCs w:val="32"/>
          <w:highlight w:val="none"/>
          <w:lang w:val="en-US" w:eastAsia="zh-CN"/>
        </w:rPr>
        <w:t>办法</w:t>
      </w:r>
      <w:r>
        <w:rPr>
          <w:rFonts w:hint="eastAsia" w:ascii="仿宋_GB2312" w:hAnsi="仿宋_GB2312" w:eastAsia="仿宋_GB2312" w:cs="仿宋_GB2312"/>
          <w:sz w:val="32"/>
          <w:szCs w:val="32"/>
          <w:highlight w:val="none"/>
        </w:rPr>
        <w:t>。</w:t>
      </w:r>
    </w:p>
    <w:p>
      <w:pPr>
        <w:pStyle w:val="9"/>
        <w:keepNext w:val="0"/>
        <w:keepLines w:val="0"/>
        <w:pageBreakBefore w:val="0"/>
        <w:numPr>
          <w:ilvl w:val="0"/>
          <w:numId w:val="1"/>
        </w:numPr>
        <w:kinsoku/>
        <w:wordWrap/>
        <w:overflowPunct/>
        <w:topLinePunct w:val="0"/>
        <w:autoSpaceDE/>
        <w:autoSpaceDN/>
        <w:bidi w:val="0"/>
        <w:adjustRightInd/>
        <w:snapToGrid w:val="0"/>
        <w:spacing w:line="600" w:lineRule="exact"/>
        <w:ind w:left="0" w:leftChars="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地方各级棋牌管理</w:t>
      </w:r>
      <w:r>
        <w:rPr>
          <w:rFonts w:hint="eastAsia" w:ascii="仿宋_GB2312" w:hAnsi="仿宋_GB2312" w:eastAsia="仿宋_GB2312" w:cs="仿宋_GB2312"/>
          <w:sz w:val="32"/>
          <w:szCs w:val="32"/>
          <w:highlight w:val="none"/>
        </w:rPr>
        <w:t>部门或</w:t>
      </w:r>
      <w:r>
        <w:rPr>
          <w:rFonts w:hint="eastAsia" w:ascii="仿宋_GB2312" w:hAnsi="仿宋_GB2312" w:eastAsia="仿宋_GB2312" w:cs="仿宋_GB2312"/>
          <w:sz w:val="32"/>
          <w:szCs w:val="32"/>
          <w:highlight w:val="none"/>
          <w:lang w:val="en-US" w:eastAsia="zh-CN"/>
        </w:rPr>
        <w:t>国际跳棋</w:t>
      </w:r>
      <w:r>
        <w:rPr>
          <w:rFonts w:hint="eastAsia" w:ascii="仿宋_GB2312" w:hAnsi="仿宋_GB2312" w:eastAsia="仿宋_GB2312" w:cs="仿宋_GB2312"/>
          <w:sz w:val="32"/>
          <w:szCs w:val="32"/>
          <w:highlight w:val="none"/>
        </w:rPr>
        <w:t>协会可根据本《细则》制定</w:t>
      </w:r>
      <w:r>
        <w:rPr>
          <w:rFonts w:hint="eastAsia" w:ascii="仿宋_GB2312" w:hAnsi="仿宋_GB2312" w:eastAsia="仿宋_GB2312" w:cs="仿宋_GB2312"/>
          <w:sz w:val="32"/>
          <w:szCs w:val="32"/>
          <w:highlight w:val="none"/>
          <w:lang w:val="en-US" w:eastAsia="zh-CN"/>
        </w:rPr>
        <w:t>区域</w:t>
      </w:r>
      <w:r>
        <w:rPr>
          <w:rFonts w:hint="eastAsia" w:ascii="仿宋_GB2312" w:hAnsi="仿宋_GB2312" w:eastAsia="仿宋_GB2312" w:cs="仿宋_GB2312"/>
          <w:sz w:val="32"/>
          <w:szCs w:val="32"/>
          <w:highlight w:val="none"/>
        </w:rPr>
        <w:t>性实施细则。</w:t>
      </w:r>
    </w:p>
    <w:p>
      <w:pPr>
        <w:pStyle w:val="9"/>
        <w:keepNext w:val="0"/>
        <w:keepLines w:val="0"/>
        <w:pageBreakBefore w:val="0"/>
        <w:numPr>
          <w:ilvl w:val="0"/>
          <w:numId w:val="1"/>
        </w:numPr>
        <w:kinsoku/>
        <w:wordWrap/>
        <w:overflowPunct/>
        <w:topLinePunct w:val="0"/>
        <w:autoSpaceDE/>
        <w:autoSpaceDN/>
        <w:bidi w:val="0"/>
        <w:adjustRightInd/>
        <w:snapToGrid w:val="0"/>
        <w:spacing w:line="600" w:lineRule="exact"/>
        <w:ind w:left="0" w:leftChars="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赛事活动组委会可依据本《细则》，制定</w:t>
      </w:r>
      <w:r>
        <w:rPr>
          <w:rFonts w:hint="eastAsia" w:ascii="仿宋_GB2312" w:hAnsi="仿宋_GB2312" w:eastAsia="仿宋_GB2312" w:cs="仿宋_GB2312"/>
          <w:sz w:val="32"/>
          <w:szCs w:val="32"/>
          <w:highlight w:val="none"/>
          <w:lang w:val="en-US" w:eastAsia="zh-CN"/>
        </w:rPr>
        <w:t>国际跳棋</w:t>
      </w:r>
      <w:r>
        <w:rPr>
          <w:rFonts w:hint="eastAsia" w:ascii="仿宋_GB2312" w:hAnsi="仿宋_GB2312" w:eastAsia="仿宋_GB2312" w:cs="仿宋_GB2312"/>
          <w:sz w:val="32"/>
          <w:szCs w:val="32"/>
          <w:highlight w:val="none"/>
        </w:rPr>
        <w:t>赛事的赛场行为</w:t>
      </w:r>
      <w:r>
        <w:rPr>
          <w:rFonts w:hint="eastAsia" w:ascii="仿宋_GB2312" w:hAnsi="仿宋_GB2312" w:eastAsia="仿宋_GB2312" w:cs="仿宋_GB2312"/>
          <w:sz w:val="32"/>
          <w:szCs w:val="32"/>
          <w:highlight w:val="none"/>
          <w:lang w:val="en-US" w:eastAsia="zh-CN"/>
        </w:rPr>
        <w:t>具体管理办法</w:t>
      </w:r>
      <w:r>
        <w:rPr>
          <w:rFonts w:hint="eastAsia" w:ascii="仿宋_GB2312" w:hAnsi="仿宋_GB2312" w:eastAsia="仿宋_GB2312" w:cs="仿宋_GB2312"/>
          <w:sz w:val="32"/>
          <w:szCs w:val="32"/>
          <w:highlight w:val="none"/>
        </w:rPr>
        <w:t>。</w:t>
      </w:r>
    </w:p>
    <w:p>
      <w:pPr>
        <w:pStyle w:val="9"/>
        <w:keepNext w:val="0"/>
        <w:keepLines w:val="0"/>
        <w:pageBreakBefore w:val="0"/>
        <w:numPr>
          <w:ilvl w:val="0"/>
          <w:numId w:val="1"/>
        </w:numPr>
        <w:kinsoku/>
        <w:wordWrap/>
        <w:overflowPunct/>
        <w:topLinePunct w:val="0"/>
        <w:autoSpaceDE/>
        <w:autoSpaceDN/>
        <w:bidi w:val="0"/>
        <w:adjustRightInd/>
        <w:snapToGrid w:val="0"/>
        <w:spacing w:line="600" w:lineRule="exact"/>
        <w:ind w:left="0" w:leftChars="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按照“谁主管、谁监管”“谁办赛、谁负责”的原则，坚持引导、教育、处罚相结合，对</w:t>
      </w:r>
      <w:r>
        <w:rPr>
          <w:rFonts w:hint="eastAsia" w:ascii="仿宋_GB2312" w:hAnsi="仿宋_GB2312" w:eastAsia="仿宋_GB2312" w:cs="仿宋_GB2312"/>
          <w:sz w:val="32"/>
          <w:szCs w:val="32"/>
          <w:highlight w:val="none"/>
          <w:lang w:eastAsia="zh-CN"/>
        </w:rPr>
        <w:t>国际跳棋</w:t>
      </w:r>
      <w:r>
        <w:rPr>
          <w:rFonts w:hint="eastAsia" w:ascii="仿宋_GB2312" w:hAnsi="仿宋_GB2312" w:eastAsia="仿宋_GB2312" w:cs="仿宋_GB2312"/>
          <w:sz w:val="32"/>
          <w:szCs w:val="32"/>
          <w:highlight w:val="none"/>
        </w:rPr>
        <w:t>赛事活动中的赛场行为实施规范管理，依法履行相应管理责任。</w:t>
      </w:r>
    </w:p>
    <w:p>
      <w:pPr>
        <w:pStyle w:val="9"/>
        <w:keepNext w:val="0"/>
        <w:keepLines w:val="0"/>
        <w:pageBreakBefore w:val="0"/>
        <w:numPr>
          <w:ilvl w:val="0"/>
          <w:numId w:val="1"/>
        </w:numPr>
        <w:kinsoku/>
        <w:wordWrap/>
        <w:overflowPunct/>
        <w:topLinePunct w:val="0"/>
        <w:autoSpaceDE/>
        <w:autoSpaceDN/>
        <w:bidi w:val="0"/>
        <w:adjustRightInd/>
        <w:snapToGrid w:val="0"/>
        <w:spacing w:line="600" w:lineRule="exact"/>
        <w:ind w:left="0" w:leftChars="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赛事组织者行为规范</w:t>
      </w:r>
    </w:p>
    <w:p>
      <w:pPr>
        <w:pStyle w:val="9"/>
        <w:keepNext w:val="0"/>
        <w:keepLines w:val="0"/>
        <w:pageBreakBefore w:val="0"/>
        <w:numPr>
          <w:ilvl w:val="0"/>
          <w:numId w:val="2"/>
        </w:numPr>
        <w:kinsoku/>
        <w:wordWrap/>
        <w:overflowPunct/>
        <w:topLinePunct w:val="0"/>
        <w:autoSpaceDE/>
        <w:autoSpaceDN/>
        <w:bidi w:val="0"/>
        <w:adjustRightInd/>
        <w:snapToGrid w:val="0"/>
        <w:spacing w:line="600" w:lineRule="exact"/>
        <w:ind w:left="0" w:leftChars="0" w:firstLine="420" w:firstLineChars="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重视赛场安全工作，主办方、承办方和协办方应通过协议明确各自权利义务，协同做好赛场安全保障工作。</w:t>
      </w:r>
    </w:p>
    <w:p>
      <w:pPr>
        <w:pStyle w:val="9"/>
        <w:keepNext w:val="0"/>
        <w:keepLines w:val="0"/>
        <w:pageBreakBefore w:val="0"/>
        <w:numPr>
          <w:ilvl w:val="0"/>
          <w:numId w:val="2"/>
        </w:numPr>
        <w:kinsoku/>
        <w:wordWrap/>
        <w:overflowPunct/>
        <w:topLinePunct w:val="0"/>
        <w:autoSpaceDE/>
        <w:autoSpaceDN/>
        <w:bidi w:val="0"/>
        <w:adjustRightInd/>
        <w:snapToGrid w:val="0"/>
        <w:spacing w:line="600" w:lineRule="exact"/>
        <w:ind w:left="0" w:leftChars="0" w:firstLine="420" w:firstLineChars="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通过明显标识、标语、现场广播、安保人员、志愿者等措施，维护赛场秩序，引导现场观众文明观赛，防止打架斗殴、拥挤踩踏等事件发生。</w:t>
      </w:r>
    </w:p>
    <w:p>
      <w:pPr>
        <w:pStyle w:val="9"/>
        <w:keepNext w:val="0"/>
        <w:keepLines w:val="0"/>
        <w:pageBreakBefore w:val="0"/>
        <w:numPr>
          <w:ilvl w:val="0"/>
          <w:numId w:val="2"/>
        </w:numPr>
        <w:kinsoku/>
        <w:wordWrap/>
        <w:overflowPunct/>
        <w:topLinePunct w:val="0"/>
        <w:autoSpaceDE/>
        <w:autoSpaceDN/>
        <w:bidi w:val="0"/>
        <w:adjustRightInd/>
        <w:snapToGrid w:val="0"/>
        <w:spacing w:line="600" w:lineRule="exact"/>
        <w:ind w:left="0" w:leftChars="0" w:firstLine="420" w:firstLineChars="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做好赛场入口安检工作，防止危险品以及其他禁带物品进入赛场。</w:t>
      </w:r>
    </w:p>
    <w:p>
      <w:pPr>
        <w:pStyle w:val="9"/>
        <w:keepNext w:val="0"/>
        <w:keepLines w:val="0"/>
        <w:pageBreakBefore w:val="0"/>
        <w:numPr>
          <w:ilvl w:val="0"/>
          <w:numId w:val="2"/>
        </w:numPr>
        <w:kinsoku/>
        <w:wordWrap/>
        <w:overflowPunct/>
        <w:topLinePunct w:val="0"/>
        <w:autoSpaceDE/>
        <w:autoSpaceDN/>
        <w:bidi w:val="0"/>
        <w:adjustRightInd/>
        <w:snapToGrid w:val="0"/>
        <w:spacing w:line="600" w:lineRule="exact"/>
        <w:ind w:left="0" w:leftChars="0" w:firstLine="420" w:firstLineChars="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防止不文明不健康、有侮辱性或谩骂性、破坏民族团结、分裂国家、反党反社会主义等方面的言论、旗帜和标语出现。</w:t>
      </w:r>
    </w:p>
    <w:p>
      <w:pPr>
        <w:pStyle w:val="9"/>
        <w:keepNext w:val="0"/>
        <w:keepLines w:val="0"/>
        <w:pageBreakBefore w:val="0"/>
        <w:numPr>
          <w:ilvl w:val="0"/>
          <w:numId w:val="2"/>
        </w:numPr>
        <w:kinsoku/>
        <w:wordWrap/>
        <w:overflowPunct/>
        <w:topLinePunct w:val="0"/>
        <w:autoSpaceDE/>
        <w:autoSpaceDN/>
        <w:bidi w:val="0"/>
        <w:adjustRightInd/>
        <w:snapToGrid w:val="0"/>
        <w:spacing w:line="600" w:lineRule="exact"/>
        <w:ind w:left="0" w:leftChars="0" w:firstLine="420" w:firstLineChars="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赛前对运动员、教练员、裁判员等人员进行赛场行为道德规范教育。</w:t>
      </w:r>
    </w:p>
    <w:p>
      <w:pPr>
        <w:pStyle w:val="9"/>
        <w:keepNext w:val="0"/>
        <w:keepLines w:val="0"/>
        <w:pageBreakBefore w:val="0"/>
        <w:numPr>
          <w:ilvl w:val="0"/>
          <w:numId w:val="2"/>
        </w:numPr>
        <w:kinsoku/>
        <w:wordWrap/>
        <w:overflowPunct/>
        <w:topLinePunct w:val="0"/>
        <w:autoSpaceDE/>
        <w:autoSpaceDN/>
        <w:bidi w:val="0"/>
        <w:adjustRightInd/>
        <w:snapToGrid w:val="0"/>
        <w:spacing w:line="600" w:lineRule="exact"/>
        <w:ind w:left="0" w:leftChars="0" w:firstLine="420" w:firstLineChars="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不得发布虚假信息，不得操纵比赛，不得违法使用或泄露参与者个人信息以及其他违法违规行为。</w:t>
      </w:r>
    </w:p>
    <w:p>
      <w:pPr>
        <w:pStyle w:val="9"/>
        <w:keepNext w:val="0"/>
        <w:keepLines w:val="0"/>
        <w:pageBreakBefore w:val="0"/>
        <w:numPr>
          <w:ilvl w:val="0"/>
          <w:numId w:val="1"/>
        </w:numPr>
        <w:kinsoku/>
        <w:wordWrap/>
        <w:overflowPunct/>
        <w:topLinePunct w:val="0"/>
        <w:autoSpaceDE/>
        <w:autoSpaceDN/>
        <w:bidi w:val="0"/>
        <w:adjustRightInd/>
        <w:snapToGrid w:val="0"/>
        <w:spacing w:line="600" w:lineRule="exact"/>
        <w:ind w:left="0" w:leftChars="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赛事</w:t>
      </w:r>
      <w:r>
        <w:rPr>
          <w:rFonts w:hint="eastAsia" w:ascii="仿宋_GB2312" w:hAnsi="仿宋_GB2312" w:eastAsia="仿宋_GB2312" w:cs="仿宋_GB2312"/>
          <w:sz w:val="32"/>
          <w:szCs w:val="32"/>
          <w:highlight w:val="none"/>
        </w:rPr>
        <w:t>参与人员行为规范</w:t>
      </w:r>
    </w:p>
    <w:p>
      <w:pPr>
        <w:pStyle w:val="9"/>
        <w:keepNext w:val="0"/>
        <w:keepLines w:val="0"/>
        <w:pageBreakBefore w:val="0"/>
        <w:numPr>
          <w:ilvl w:val="0"/>
          <w:numId w:val="3"/>
        </w:numPr>
        <w:kinsoku/>
        <w:wordWrap/>
        <w:overflowPunct/>
        <w:topLinePunct w:val="0"/>
        <w:autoSpaceDE/>
        <w:autoSpaceDN/>
        <w:bidi w:val="0"/>
        <w:adjustRightInd/>
        <w:snapToGrid w:val="0"/>
        <w:spacing w:line="600" w:lineRule="exact"/>
        <w:ind w:left="0" w:leftChars="0" w:firstLine="420" w:firstLineChars="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遵守相关法律法规，自觉维护国家利益和荣誉，自觉践行社会主义核心价值观，大力弘扬中华体育精神，遵守社会公德，尊重公序良俗，恪守职业道德，保护公私财物，维护体育赛事活动正常秩序。</w:t>
      </w:r>
    </w:p>
    <w:p>
      <w:pPr>
        <w:pStyle w:val="9"/>
        <w:keepNext w:val="0"/>
        <w:keepLines w:val="0"/>
        <w:pageBreakBefore w:val="0"/>
        <w:numPr>
          <w:ilvl w:val="0"/>
          <w:numId w:val="3"/>
        </w:numPr>
        <w:kinsoku/>
        <w:wordWrap/>
        <w:overflowPunct/>
        <w:topLinePunct w:val="0"/>
        <w:autoSpaceDE/>
        <w:autoSpaceDN/>
        <w:bidi w:val="0"/>
        <w:adjustRightInd/>
        <w:snapToGrid w:val="0"/>
        <w:spacing w:line="600" w:lineRule="exact"/>
        <w:ind w:left="0" w:leftChars="0" w:firstLine="420" w:firstLineChars="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遵守《反兴奋剂条例》的相关规定。</w:t>
      </w:r>
    </w:p>
    <w:p>
      <w:pPr>
        <w:pStyle w:val="9"/>
        <w:keepNext w:val="0"/>
        <w:keepLines w:val="0"/>
        <w:pageBreakBefore w:val="0"/>
        <w:numPr>
          <w:ilvl w:val="0"/>
          <w:numId w:val="3"/>
        </w:numPr>
        <w:kinsoku/>
        <w:wordWrap/>
        <w:overflowPunct/>
        <w:topLinePunct w:val="0"/>
        <w:autoSpaceDE/>
        <w:autoSpaceDN/>
        <w:bidi w:val="0"/>
        <w:adjustRightInd/>
        <w:snapToGrid w:val="0"/>
        <w:spacing w:line="600" w:lineRule="exact"/>
        <w:ind w:left="0" w:leftChars="0" w:firstLine="420" w:firstLineChars="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遵守《中国国际跳棋协会赛风赛纪管理规定》的相关规定，确保比赛公平、公正进行。</w:t>
      </w:r>
    </w:p>
    <w:p>
      <w:pPr>
        <w:pStyle w:val="9"/>
        <w:keepNext w:val="0"/>
        <w:keepLines w:val="0"/>
        <w:pageBreakBefore w:val="0"/>
        <w:numPr>
          <w:ilvl w:val="0"/>
          <w:numId w:val="3"/>
        </w:numPr>
        <w:kinsoku/>
        <w:wordWrap/>
        <w:overflowPunct/>
        <w:topLinePunct w:val="0"/>
        <w:autoSpaceDE/>
        <w:autoSpaceDN/>
        <w:bidi w:val="0"/>
        <w:adjustRightInd/>
        <w:snapToGrid w:val="0"/>
        <w:spacing w:line="600" w:lineRule="exact"/>
        <w:ind w:left="0" w:leftChars="0" w:firstLine="420" w:firstLineChars="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自觉遵守比赛的各项规定，恪守体育道德和行业规范，服从裁判和工作人员的指挥，维护良好的赛风赛纪。</w:t>
      </w:r>
    </w:p>
    <w:p>
      <w:pPr>
        <w:pStyle w:val="9"/>
        <w:keepNext w:val="0"/>
        <w:keepLines w:val="0"/>
        <w:pageBreakBefore w:val="0"/>
        <w:numPr>
          <w:ilvl w:val="0"/>
          <w:numId w:val="3"/>
        </w:numPr>
        <w:kinsoku/>
        <w:wordWrap/>
        <w:overflowPunct/>
        <w:topLinePunct w:val="0"/>
        <w:autoSpaceDE/>
        <w:autoSpaceDN/>
        <w:bidi w:val="0"/>
        <w:adjustRightInd/>
        <w:snapToGrid w:val="0"/>
        <w:spacing w:line="600" w:lineRule="exact"/>
        <w:ind w:left="0" w:leftChars="0" w:firstLine="420" w:firstLineChars="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严禁以任何形式暗箱操作、幕后交易、干扰执裁、破坏秩序，操纵比赛。</w:t>
      </w:r>
    </w:p>
    <w:p>
      <w:pPr>
        <w:pStyle w:val="9"/>
        <w:keepNext w:val="0"/>
        <w:keepLines w:val="0"/>
        <w:pageBreakBefore w:val="0"/>
        <w:numPr>
          <w:ilvl w:val="0"/>
          <w:numId w:val="3"/>
        </w:numPr>
        <w:kinsoku/>
        <w:wordWrap/>
        <w:overflowPunct/>
        <w:topLinePunct w:val="0"/>
        <w:autoSpaceDE/>
        <w:autoSpaceDN/>
        <w:bidi w:val="0"/>
        <w:adjustRightInd/>
        <w:snapToGrid w:val="0"/>
        <w:spacing w:line="600" w:lineRule="exact"/>
        <w:ind w:left="0" w:leftChars="0" w:firstLine="420" w:firstLineChars="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严禁为获得不正当比赛成绩或谋取不正当利益，给予他人财物或非法索取、收受他人财物。</w:t>
      </w:r>
    </w:p>
    <w:p>
      <w:pPr>
        <w:pStyle w:val="9"/>
        <w:keepNext w:val="0"/>
        <w:keepLines w:val="0"/>
        <w:pageBreakBefore w:val="0"/>
        <w:numPr>
          <w:ilvl w:val="0"/>
          <w:numId w:val="3"/>
        </w:numPr>
        <w:kinsoku/>
        <w:wordWrap/>
        <w:overflowPunct/>
        <w:topLinePunct w:val="0"/>
        <w:autoSpaceDE/>
        <w:autoSpaceDN/>
        <w:bidi w:val="0"/>
        <w:adjustRightInd/>
        <w:snapToGrid w:val="0"/>
        <w:spacing w:line="600" w:lineRule="exact"/>
        <w:ind w:left="0" w:leftChars="0" w:firstLine="420" w:firstLineChars="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赛事期间不得</w:t>
      </w:r>
      <w:r>
        <w:rPr>
          <w:rFonts w:hint="eastAsia" w:ascii="仿宋_GB2312" w:hAnsi="仿宋_GB2312" w:eastAsia="仿宋_GB2312" w:cs="仿宋_GB2312"/>
          <w:sz w:val="32"/>
          <w:szCs w:val="32"/>
          <w:highlight w:val="none"/>
        </w:rPr>
        <w:t>饮酒、赌博、打架斗殴</w:t>
      </w:r>
      <w:r>
        <w:rPr>
          <w:rFonts w:hint="eastAsia" w:ascii="仿宋_GB2312" w:hAnsi="仿宋_GB2312" w:eastAsia="仿宋_GB2312" w:cs="仿宋_GB2312"/>
          <w:sz w:val="32"/>
          <w:szCs w:val="32"/>
          <w:highlight w:val="none"/>
          <w:lang w:eastAsia="zh-CN"/>
        </w:rPr>
        <w:t>。</w:t>
      </w:r>
    </w:p>
    <w:p>
      <w:pPr>
        <w:pStyle w:val="9"/>
        <w:keepNext w:val="0"/>
        <w:keepLines w:val="0"/>
        <w:pageBreakBefore w:val="0"/>
        <w:numPr>
          <w:ilvl w:val="0"/>
          <w:numId w:val="3"/>
        </w:numPr>
        <w:kinsoku/>
        <w:wordWrap/>
        <w:overflowPunct/>
        <w:topLinePunct w:val="0"/>
        <w:autoSpaceDE/>
        <w:autoSpaceDN/>
        <w:bidi w:val="0"/>
        <w:adjustRightInd/>
        <w:snapToGrid w:val="0"/>
        <w:spacing w:line="600" w:lineRule="exact"/>
        <w:ind w:left="0" w:leftChars="0" w:firstLine="420" w:firstLineChars="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严禁发表、传播或向媒体散布不实或不负责任的言论。</w:t>
      </w:r>
    </w:p>
    <w:p>
      <w:pPr>
        <w:pStyle w:val="9"/>
        <w:keepNext w:val="0"/>
        <w:keepLines w:val="0"/>
        <w:pageBreakBefore w:val="0"/>
        <w:numPr>
          <w:ilvl w:val="0"/>
          <w:numId w:val="3"/>
        </w:numPr>
        <w:kinsoku/>
        <w:wordWrap/>
        <w:overflowPunct/>
        <w:topLinePunct w:val="0"/>
        <w:autoSpaceDE/>
        <w:autoSpaceDN/>
        <w:bidi w:val="0"/>
        <w:adjustRightInd/>
        <w:snapToGrid w:val="0"/>
        <w:spacing w:line="600" w:lineRule="exact"/>
        <w:ind w:left="0" w:leftChars="0" w:firstLine="420" w:firstLineChars="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不得有违背社会主义核心价值观、违背体育道德、违反公序良俗、违反赛风赛纪、造成不良社会影响或违法违规的言行。</w:t>
      </w:r>
    </w:p>
    <w:p>
      <w:pPr>
        <w:pStyle w:val="9"/>
        <w:keepNext w:val="0"/>
        <w:keepLines w:val="0"/>
        <w:pageBreakBefore w:val="0"/>
        <w:numPr>
          <w:ilvl w:val="0"/>
          <w:numId w:val="1"/>
        </w:numPr>
        <w:kinsoku/>
        <w:wordWrap/>
        <w:overflowPunct/>
        <w:topLinePunct w:val="0"/>
        <w:autoSpaceDE/>
        <w:autoSpaceDN/>
        <w:bidi w:val="0"/>
        <w:adjustRightInd/>
        <w:snapToGrid w:val="0"/>
        <w:spacing w:line="600" w:lineRule="exact"/>
        <w:ind w:left="0" w:lef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赛事观众行为规范</w:t>
      </w:r>
    </w:p>
    <w:p>
      <w:pPr>
        <w:pStyle w:val="9"/>
        <w:keepNext w:val="0"/>
        <w:keepLines w:val="0"/>
        <w:pageBreakBefore w:val="0"/>
        <w:numPr>
          <w:ilvl w:val="0"/>
          <w:numId w:val="4"/>
        </w:numPr>
        <w:kinsoku/>
        <w:wordWrap/>
        <w:overflowPunct/>
        <w:topLinePunct w:val="0"/>
        <w:autoSpaceDE/>
        <w:autoSpaceDN/>
        <w:bidi w:val="0"/>
        <w:adjustRightInd/>
        <w:snapToGrid w:val="0"/>
        <w:spacing w:line="600" w:lineRule="exact"/>
        <w:ind w:left="0" w:leftChars="0" w:firstLine="420" w:firstLineChars="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遵守赛事的相关管理规定，配合安检，遵守公共安全、卫生相关要求及观众席秩序，遵守社会公德，文明理性观赛，拍照、录像应符合赛事活动要求。</w:t>
      </w:r>
    </w:p>
    <w:p>
      <w:pPr>
        <w:pStyle w:val="9"/>
        <w:keepNext w:val="0"/>
        <w:keepLines w:val="0"/>
        <w:pageBreakBefore w:val="0"/>
        <w:numPr>
          <w:ilvl w:val="0"/>
          <w:numId w:val="4"/>
        </w:numPr>
        <w:kinsoku/>
        <w:wordWrap/>
        <w:overflowPunct/>
        <w:topLinePunct w:val="0"/>
        <w:autoSpaceDE/>
        <w:autoSpaceDN/>
        <w:bidi w:val="0"/>
        <w:adjustRightInd/>
        <w:snapToGrid w:val="0"/>
        <w:spacing w:line="600" w:lineRule="exact"/>
        <w:ind w:left="0" w:leftChars="0" w:firstLine="420" w:firstLineChars="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严禁携带危险品以及其他禁带物品进入赛场。</w:t>
      </w:r>
    </w:p>
    <w:p>
      <w:pPr>
        <w:pStyle w:val="9"/>
        <w:keepNext w:val="0"/>
        <w:keepLines w:val="0"/>
        <w:pageBreakBefore w:val="0"/>
        <w:numPr>
          <w:ilvl w:val="0"/>
          <w:numId w:val="4"/>
        </w:numPr>
        <w:kinsoku/>
        <w:wordWrap/>
        <w:overflowPunct/>
        <w:topLinePunct w:val="0"/>
        <w:autoSpaceDE/>
        <w:autoSpaceDN/>
        <w:bidi w:val="0"/>
        <w:adjustRightInd/>
        <w:snapToGrid w:val="0"/>
        <w:spacing w:line="600" w:lineRule="exact"/>
        <w:ind w:left="0" w:leftChars="0" w:firstLine="420" w:firstLineChars="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服从工作人员指引在指定区域入座或行动，未经允许不得进入比赛场地。</w:t>
      </w:r>
    </w:p>
    <w:p>
      <w:pPr>
        <w:pStyle w:val="9"/>
        <w:keepNext w:val="0"/>
        <w:keepLines w:val="0"/>
        <w:pageBreakBefore w:val="0"/>
        <w:numPr>
          <w:ilvl w:val="0"/>
          <w:numId w:val="4"/>
        </w:numPr>
        <w:kinsoku/>
        <w:wordWrap/>
        <w:overflowPunct/>
        <w:topLinePunct w:val="0"/>
        <w:autoSpaceDE/>
        <w:autoSpaceDN/>
        <w:bidi w:val="0"/>
        <w:adjustRightInd/>
        <w:snapToGrid w:val="0"/>
        <w:spacing w:line="600" w:lineRule="exact"/>
        <w:ind w:left="0" w:leftChars="0" w:firstLine="420" w:firstLineChars="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严禁发表或展示不文明不健康、有侮辱谩骂性、破坏民族团结、分裂国家、反党反社会主义等方面的言论、旗帜或标语。</w:t>
      </w:r>
    </w:p>
    <w:p>
      <w:pPr>
        <w:pStyle w:val="9"/>
        <w:keepNext w:val="0"/>
        <w:keepLines w:val="0"/>
        <w:pageBreakBefore w:val="0"/>
        <w:numPr>
          <w:ilvl w:val="0"/>
          <w:numId w:val="4"/>
        </w:numPr>
        <w:kinsoku/>
        <w:wordWrap/>
        <w:overflowPunct/>
        <w:topLinePunct w:val="0"/>
        <w:autoSpaceDE/>
        <w:autoSpaceDN/>
        <w:bidi w:val="0"/>
        <w:adjustRightInd/>
        <w:snapToGrid w:val="0"/>
        <w:spacing w:line="600" w:lineRule="exact"/>
        <w:ind w:left="0" w:leftChars="0" w:firstLine="420" w:firstLineChars="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严禁起哄或向赛场投掷杂物，严禁侮辱谩骂、围攻运动员、教练员、裁判员和相关工作人员，严禁打架斗殴、寻衅滋事或以任何形式干扰比赛秩序。</w:t>
      </w:r>
    </w:p>
    <w:p>
      <w:pPr>
        <w:pStyle w:val="9"/>
        <w:keepNext w:val="0"/>
        <w:keepLines w:val="0"/>
        <w:pageBreakBefore w:val="0"/>
        <w:numPr>
          <w:ilvl w:val="0"/>
          <w:numId w:val="4"/>
        </w:numPr>
        <w:kinsoku/>
        <w:wordWrap/>
        <w:overflowPunct/>
        <w:topLinePunct w:val="0"/>
        <w:autoSpaceDE/>
        <w:autoSpaceDN/>
        <w:bidi w:val="0"/>
        <w:adjustRightInd/>
        <w:snapToGrid w:val="0"/>
        <w:spacing w:line="600" w:lineRule="exact"/>
        <w:ind w:left="0" w:leftChars="0" w:firstLine="420" w:firstLineChars="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禁止吸烟及乱扔杂物，禁止攀爬、翻越围栏、栏杆及防护架等不文明行为。</w:t>
      </w:r>
    </w:p>
    <w:p>
      <w:pPr>
        <w:pStyle w:val="9"/>
        <w:keepNext w:val="0"/>
        <w:keepLines w:val="0"/>
        <w:pageBreakBefore w:val="0"/>
        <w:numPr>
          <w:ilvl w:val="0"/>
          <w:numId w:val="1"/>
        </w:numPr>
        <w:kinsoku/>
        <w:wordWrap/>
        <w:overflowPunct/>
        <w:topLinePunct w:val="0"/>
        <w:autoSpaceDE/>
        <w:autoSpaceDN/>
        <w:bidi w:val="0"/>
        <w:adjustRightInd/>
        <w:snapToGrid w:val="0"/>
        <w:spacing w:line="600" w:lineRule="exact"/>
        <w:ind w:left="0" w:lef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监督管理</w:t>
      </w:r>
    </w:p>
    <w:p>
      <w:pPr>
        <w:pStyle w:val="9"/>
        <w:keepNext w:val="0"/>
        <w:keepLines w:val="0"/>
        <w:pageBreakBefore w:val="0"/>
        <w:numPr>
          <w:ilvl w:val="0"/>
          <w:numId w:val="5"/>
        </w:numPr>
        <w:kinsoku/>
        <w:wordWrap/>
        <w:overflowPunct/>
        <w:topLinePunct w:val="0"/>
        <w:autoSpaceDE/>
        <w:autoSpaceDN/>
        <w:bidi w:val="0"/>
        <w:adjustRightInd/>
        <w:snapToGrid w:val="0"/>
        <w:spacing w:line="600" w:lineRule="exact"/>
        <w:ind w:left="0" w:leftChars="0" w:firstLine="420" w:firstLineChars="0"/>
        <w:jc w:val="left"/>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中国</w:t>
      </w:r>
      <w:r>
        <w:rPr>
          <w:rFonts w:hint="eastAsia" w:ascii="仿宋_GB2312" w:hAnsi="仿宋_GB2312" w:eastAsia="仿宋_GB2312" w:cs="仿宋_GB2312"/>
          <w:sz w:val="32"/>
          <w:szCs w:val="32"/>
          <w:highlight w:val="none"/>
          <w:lang w:val="en-US" w:eastAsia="zh-CN"/>
        </w:rPr>
        <w:t>国际跳棋</w:t>
      </w:r>
      <w:r>
        <w:rPr>
          <w:rFonts w:hint="default" w:ascii="仿宋_GB2312" w:hAnsi="仿宋_GB2312" w:eastAsia="仿宋_GB2312" w:cs="仿宋_GB2312"/>
          <w:sz w:val="32"/>
          <w:szCs w:val="32"/>
          <w:highlight w:val="none"/>
          <w:lang w:val="en-US" w:eastAsia="zh-CN"/>
        </w:rPr>
        <w:t>协会将</w:t>
      </w:r>
      <w:r>
        <w:rPr>
          <w:rFonts w:hint="eastAsia" w:ascii="仿宋_GB2312" w:hAnsi="仿宋_GB2312" w:eastAsia="仿宋_GB2312" w:cs="仿宋_GB2312"/>
          <w:sz w:val="32"/>
          <w:szCs w:val="32"/>
          <w:highlight w:val="none"/>
          <w:lang w:val="en-US" w:eastAsia="zh-CN"/>
        </w:rPr>
        <w:t>对符合《体育市场黑名单管理办法》相关规定情形的组织者和参与人员向当地人民政府体育主管部门举报。</w:t>
      </w:r>
      <w:bookmarkStart w:id="0" w:name="_GoBack"/>
      <w:bookmarkEnd w:id="0"/>
      <w:r>
        <w:rPr>
          <w:rFonts w:hint="default" w:ascii="仿宋_GB2312" w:hAnsi="仿宋_GB2312" w:eastAsia="仿宋_GB2312" w:cs="仿宋_GB2312"/>
          <w:sz w:val="32"/>
          <w:szCs w:val="32"/>
          <w:highlight w:val="none"/>
          <w:lang w:val="en-US" w:eastAsia="zh-CN"/>
        </w:rPr>
        <w:t>各级</w:t>
      </w:r>
      <w:r>
        <w:rPr>
          <w:rFonts w:hint="eastAsia" w:ascii="仿宋_GB2312" w:hAnsi="仿宋_GB2312" w:eastAsia="仿宋_GB2312" w:cs="仿宋_GB2312"/>
          <w:sz w:val="32"/>
          <w:szCs w:val="32"/>
          <w:highlight w:val="none"/>
          <w:lang w:val="en-US" w:eastAsia="zh-CN"/>
        </w:rPr>
        <w:t>棋牌</w:t>
      </w:r>
      <w:r>
        <w:rPr>
          <w:rFonts w:hint="default" w:ascii="仿宋_GB2312" w:hAnsi="仿宋_GB2312" w:eastAsia="仿宋_GB2312" w:cs="仿宋_GB2312"/>
          <w:sz w:val="32"/>
          <w:szCs w:val="32"/>
          <w:highlight w:val="none"/>
          <w:lang w:val="en-US" w:eastAsia="zh-CN"/>
        </w:rPr>
        <w:t>主管部门或协会和赛事组委会如在赛事活动组织中出现重大事故</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造成严重后果或恶劣影响的，应当按照相关法律法规承担相应责任。</w:t>
      </w:r>
    </w:p>
    <w:p>
      <w:pPr>
        <w:pStyle w:val="9"/>
        <w:keepNext w:val="0"/>
        <w:keepLines w:val="0"/>
        <w:pageBreakBefore w:val="0"/>
        <w:numPr>
          <w:ilvl w:val="0"/>
          <w:numId w:val="5"/>
        </w:numPr>
        <w:kinsoku/>
        <w:wordWrap/>
        <w:overflowPunct/>
        <w:topLinePunct w:val="0"/>
        <w:autoSpaceDE/>
        <w:autoSpaceDN/>
        <w:bidi w:val="0"/>
        <w:adjustRightInd/>
        <w:snapToGrid w:val="0"/>
        <w:spacing w:line="600" w:lineRule="exact"/>
        <w:ind w:left="0" w:leftChars="0" w:firstLine="420" w:firstLineChars="0"/>
        <w:jc w:val="left"/>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参加</w:t>
      </w:r>
      <w:r>
        <w:rPr>
          <w:rFonts w:hint="eastAsia" w:ascii="仿宋_GB2312" w:hAnsi="仿宋_GB2312" w:eastAsia="仿宋_GB2312" w:cs="仿宋_GB2312"/>
          <w:sz w:val="32"/>
          <w:szCs w:val="32"/>
          <w:highlight w:val="none"/>
          <w:lang w:val="en-US" w:eastAsia="zh-CN"/>
        </w:rPr>
        <w:t>国际跳棋</w:t>
      </w:r>
      <w:r>
        <w:rPr>
          <w:rFonts w:hint="default" w:ascii="仿宋_GB2312" w:hAnsi="仿宋_GB2312" w:eastAsia="仿宋_GB2312" w:cs="仿宋_GB2312"/>
          <w:sz w:val="32"/>
          <w:szCs w:val="32"/>
          <w:highlight w:val="none"/>
          <w:lang w:val="en-US" w:eastAsia="zh-CN"/>
        </w:rPr>
        <w:t>赛事活动的组织者，参与人员与观众等群体，涉嫌违反《中华人民共和国治安管理处罚法》或触犯刑事法律的，由赛事组委会依法移交有关司法机关处理。</w:t>
      </w:r>
    </w:p>
    <w:p>
      <w:pPr>
        <w:pStyle w:val="9"/>
        <w:keepNext w:val="0"/>
        <w:keepLines w:val="0"/>
        <w:pageBreakBefore w:val="0"/>
        <w:numPr>
          <w:ilvl w:val="0"/>
          <w:numId w:val="5"/>
        </w:numPr>
        <w:kinsoku/>
        <w:wordWrap/>
        <w:overflowPunct/>
        <w:topLinePunct w:val="0"/>
        <w:autoSpaceDE/>
        <w:autoSpaceDN/>
        <w:bidi w:val="0"/>
        <w:adjustRightInd/>
        <w:snapToGrid w:val="0"/>
        <w:spacing w:line="600" w:lineRule="exact"/>
        <w:ind w:left="0" w:leftChars="0" w:firstLine="420" w:firstLineChars="0"/>
        <w:jc w:val="left"/>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发生兴奋剂违规事件的，按国家有关反兴奋剂规定进行处罚。</w:t>
      </w:r>
    </w:p>
    <w:p>
      <w:pPr>
        <w:pStyle w:val="9"/>
        <w:keepNext w:val="0"/>
        <w:keepLines w:val="0"/>
        <w:pageBreakBefore w:val="0"/>
        <w:numPr>
          <w:ilvl w:val="0"/>
          <w:numId w:val="5"/>
        </w:numPr>
        <w:kinsoku/>
        <w:wordWrap/>
        <w:overflowPunct/>
        <w:topLinePunct w:val="0"/>
        <w:autoSpaceDE/>
        <w:autoSpaceDN/>
        <w:bidi w:val="0"/>
        <w:adjustRightInd/>
        <w:snapToGrid w:val="0"/>
        <w:spacing w:line="600" w:lineRule="exact"/>
        <w:ind w:left="0" w:leftChars="0" w:firstLine="420" w:firstLineChars="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国际跳棋</w:t>
      </w:r>
      <w:r>
        <w:rPr>
          <w:rFonts w:hint="default" w:ascii="仿宋_GB2312" w:hAnsi="仿宋_GB2312" w:eastAsia="仿宋_GB2312" w:cs="仿宋_GB2312"/>
          <w:sz w:val="32"/>
          <w:szCs w:val="32"/>
          <w:highlight w:val="none"/>
          <w:lang w:val="en-US" w:eastAsia="zh-CN"/>
        </w:rPr>
        <w:t>赛事活动组织者对以上行为规范疏</w:t>
      </w:r>
      <w:r>
        <w:rPr>
          <w:rFonts w:hint="eastAsia" w:ascii="仿宋_GB2312" w:hAnsi="仿宋_GB2312" w:eastAsia="仿宋_GB2312" w:cs="仿宋_GB2312"/>
          <w:sz w:val="32"/>
          <w:szCs w:val="32"/>
          <w:highlight w:val="none"/>
          <w:lang w:val="en-US" w:eastAsia="zh-CN"/>
        </w:rPr>
        <w:t>于</w:t>
      </w:r>
      <w:r>
        <w:rPr>
          <w:rFonts w:hint="default" w:ascii="仿宋_GB2312" w:hAnsi="仿宋_GB2312" w:eastAsia="仿宋_GB2312" w:cs="仿宋_GB2312"/>
          <w:sz w:val="32"/>
          <w:szCs w:val="32"/>
          <w:highlight w:val="none"/>
          <w:lang w:val="en-US" w:eastAsia="zh-CN"/>
        </w:rPr>
        <w:t>管理的，各主管部门应当依照《体育赛事活动管理办法》责令其改正或处以罚款</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涉嫌欺诈或造成重大安全责任事故的，各主管部门应当配合公安等相关部门依法依规处理。</w:t>
      </w:r>
    </w:p>
    <w:p>
      <w:pPr>
        <w:pStyle w:val="9"/>
        <w:keepNext w:val="0"/>
        <w:keepLines w:val="0"/>
        <w:pageBreakBefore w:val="0"/>
        <w:numPr>
          <w:ilvl w:val="0"/>
          <w:numId w:val="5"/>
        </w:numPr>
        <w:kinsoku/>
        <w:wordWrap/>
        <w:overflowPunct/>
        <w:topLinePunct w:val="0"/>
        <w:autoSpaceDE/>
        <w:autoSpaceDN/>
        <w:bidi w:val="0"/>
        <w:adjustRightInd/>
        <w:snapToGrid w:val="0"/>
        <w:spacing w:line="600" w:lineRule="exact"/>
        <w:ind w:left="0" w:leftChars="0" w:firstLine="420" w:firstLineChars="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国际跳棋</w:t>
      </w:r>
      <w:r>
        <w:rPr>
          <w:rFonts w:hint="default" w:ascii="仿宋_GB2312" w:hAnsi="仿宋_GB2312" w:eastAsia="仿宋_GB2312" w:cs="仿宋_GB2312"/>
          <w:sz w:val="32"/>
          <w:szCs w:val="32"/>
          <w:highlight w:val="none"/>
          <w:lang w:val="en-US" w:eastAsia="zh-CN"/>
        </w:rPr>
        <w:t>赛事活动</w:t>
      </w:r>
      <w:r>
        <w:rPr>
          <w:rFonts w:hint="eastAsia" w:ascii="仿宋_GB2312" w:hAnsi="仿宋_GB2312" w:eastAsia="仿宋_GB2312" w:cs="仿宋_GB2312"/>
          <w:sz w:val="32"/>
          <w:szCs w:val="32"/>
          <w:highlight w:val="none"/>
          <w:lang w:val="en-US" w:eastAsia="zh-CN"/>
        </w:rPr>
        <w:t>参与</w:t>
      </w:r>
      <w:r>
        <w:rPr>
          <w:rFonts w:hint="default" w:ascii="仿宋_GB2312" w:hAnsi="仿宋_GB2312" w:eastAsia="仿宋_GB2312" w:cs="仿宋_GB2312"/>
          <w:sz w:val="32"/>
          <w:szCs w:val="32"/>
          <w:highlight w:val="none"/>
          <w:lang w:val="en-US" w:eastAsia="zh-CN"/>
        </w:rPr>
        <w:t>人员有违反本细则规定的行为</w:t>
      </w:r>
      <w:r>
        <w:rPr>
          <w:rFonts w:hint="eastAsia" w:ascii="仿宋_GB2312" w:hAnsi="仿宋_GB2312" w:eastAsia="仿宋_GB2312" w:cs="仿宋_GB2312"/>
          <w:sz w:val="32"/>
          <w:szCs w:val="32"/>
          <w:highlight w:val="none"/>
          <w:lang w:val="en-US" w:eastAsia="zh-CN"/>
        </w:rPr>
        <w:t>规范</w:t>
      </w:r>
      <w:r>
        <w:rPr>
          <w:rFonts w:hint="default" w:ascii="仿宋_GB2312" w:hAnsi="仿宋_GB2312" w:eastAsia="仿宋_GB2312" w:cs="仿宋_GB2312"/>
          <w:sz w:val="32"/>
          <w:szCs w:val="32"/>
          <w:highlight w:val="none"/>
          <w:lang w:val="en-US" w:eastAsia="zh-CN"/>
        </w:rPr>
        <w:t>的，各主管部门可</w:t>
      </w:r>
      <w:r>
        <w:rPr>
          <w:rFonts w:hint="eastAsia" w:ascii="仿宋_GB2312" w:hAnsi="仿宋_GB2312" w:eastAsia="仿宋_GB2312" w:cs="仿宋_GB2312"/>
          <w:sz w:val="32"/>
          <w:szCs w:val="32"/>
          <w:highlight w:val="none"/>
          <w:lang w:val="en-US" w:eastAsia="zh-CN"/>
        </w:rPr>
        <w:t>依照</w:t>
      </w:r>
      <w:r>
        <w:rPr>
          <w:rFonts w:hint="default"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fldChar w:fldCharType="begin"/>
      </w:r>
      <w:r>
        <w:rPr>
          <w:rFonts w:hint="default" w:ascii="仿宋_GB2312" w:hAnsi="仿宋_GB2312" w:eastAsia="仿宋_GB2312" w:cs="仿宋_GB2312"/>
          <w:sz w:val="32"/>
          <w:szCs w:val="32"/>
          <w:highlight w:val="none"/>
          <w:lang w:val="en-US" w:eastAsia="zh-CN"/>
        </w:rPr>
        <w:instrText xml:space="preserve"> HYPERLINK "http://s.imsa.cn/cmsa_cms/uploads/soft/170511/%E4%B8%AD%E5%9B%BD%E5%9B%BD%E9%99%85%E8%B7%B3%E6%A3%8B%E5%8D%8F%E4%BC%9A%E8%A3%81%E5%88%A4%E5%91%98%E7%AE%A1%E7%90%86%E6%9A%82%E8%A1%8C%E5%8A%9E%E6%B3%95.doc" \t "_blank" </w:instrText>
      </w:r>
      <w:r>
        <w:rPr>
          <w:rFonts w:hint="default" w:ascii="仿宋_GB2312" w:hAnsi="仿宋_GB2312" w:eastAsia="仿宋_GB2312" w:cs="仿宋_GB2312"/>
          <w:sz w:val="32"/>
          <w:szCs w:val="32"/>
          <w:highlight w:val="none"/>
          <w:lang w:val="en-US" w:eastAsia="zh-CN"/>
        </w:rPr>
        <w:fldChar w:fldCharType="separate"/>
      </w:r>
      <w:r>
        <w:rPr>
          <w:rFonts w:hint="default" w:ascii="仿宋_GB2312" w:hAnsi="仿宋_GB2312" w:eastAsia="仿宋_GB2312" w:cs="仿宋_GB2312"/>
          <w:sz w:val="32"/>
          <w:szCs w:val="32"/>
          <w:highlight w:val="none"/>
          <w:lang w:val="en-US" w:eastAsia="zh-CN"/>
        </w:rPr>
        <w:t>中国国际跳棋协会裁判员管理暂行办法</w:t>
      </w:r>
      <w:r>
        <w:rPr>
          <w:rFonts w:hint="default" w:ascii="仿宋_GB2312" w:hAnsi="仿宋_GB2312" w:eastAsia="仿宋_GB2312" w:cs="仿宋_GB2312"/>
          <w:sz w:val="32"/>
          <w:szCs w:val="32"/>
          <w:highlight w:val="none"/>
          <w:lang w:val="en-US" w:eastAsia="zh-CN"/>
        </w:rPr>
        <w:fldChar w:fldCharType="end"/>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、《中国国际跳棋协会赛风赛纪管理规定》的</w:t>
      </w:r>
      <w:r>
        <w:rPr>
          <w:rFonts w:hint="default" w:ascii="仿宋_GB2312" w:hAnsi="仿宋_GB2312" w:eastAsia="仿宋_GB2312" w:cs="仿宋_GB2312"/>
          <w:sz w:val="32"/>
          <w:szCs w:val="32"/>
          <w:highlight w:val="none"/>
          <w:lang w:val="en-US" w:eastAsia="zh-CN"/>
        </w:rPr>
        <w:t>相关规定，视情况</w:t>
      </w:r>
      <w:r>
        <w:rPr>
          <w:rFonts w:hint="eastAsia" w:ascii="仿宋_GB2312" w:hAnsi="仿宋_GB2312" w:eastAsia="仿宋_GB2312" w:cs="仿宋_GB2312"/>
          <w:sz w:val="32"/>
          <w:szCs w:val="32"/>
          <w:highlight w:val="none"/>
          <w:lang w:val="en-US" w:eastAsia="zh-CN"/>
        </w:rPr>
        <w:t>给予</w:t>
      </w:r>
      <w:r>
        <w:rPr>
          <w:rFonts w:hint="default" w:ascii="仿宋_GB2312" w:hAnsi="仿宋_GB2312" w:eastAsia="仿宋_GB2312" w:cs="仿宋_GB2312"/>
          <w:sz w:val="32"/>
          <w:szCs w:val="32"/>
          <w:highlight w:val="none"/>
          <w:lang w:val="en-US" w:eastAsia="zh-CN"/>
        </w:rPr>
        <w:t>相应处罚。</w:t>
      </w:r>
    </w:p>
    <w:p>
      <w:pPr>
        <w:pStyle w:val="9"/>
        <w:keepNext w:val="0"/>
        <w:keepLines w:val="0"/>
        <w:pageBreakBefore w:val="0"/>
        <w:numPr>
          <w:ilvl w:val="0"/>
          <w:numId w:val="5"/>
        </w:numPr>
        <w:kinsoku/>
        <w:wordWrap/>
        <w:overflowPunct/>
        <w:topLinePunct w:val="0"/>
        <w:autoSpaceDE/>
        <w:autoSpaceDN/>
        <w:bidi w:val="0"/>
        <w:adjustRightInd/>
        <w:snapToGrid w:val="0"/>
        <w:spacing w:line="600" w:lineRule="exact"/>
        <w:ind w:left="0" w:leftChars="0" w:firstLine="420" w:firstLineChars="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国际跳棋赛事</w:t>
      </w:r>
      <w:r>
        <w:rPr>
          <w:rFonts w:hint="default" w:ascii="仿宋_GB2312" w:hAnsi="仿宋_GB2312" w:eastAsia="仿宋_GB2312" w:cs="仿宋_GB2312"/>
          <w:sz w:val="32"/>
          <w:szCs w:val="32"/>
          <w:highlight w:val="none"/>
          <w:lang w:val="en-US" w:eastAsia="zh-CN"/>
        </w:rPr>
        <w:t>观众有违反本细则规定的行为规范的，赛事活动组织者应当依法依规及时制止并妥善处理；相关行为涉嫌违法犯罪的，赛事活动组织者应当及时向公安机关报告，并配合公安机关做好现场处理和后续案件查办工作。</w:t>
      </w:r>
    </w:p>
    <w:p>
      <w:pPr>
        <w:pStyle w:val="9"/>
        <w:keepNext w:val="0"/>
        <w:keepLines w:val="0"/>
        <w:pageBreakBefore w:val="0"/>
        <w:numPr>
          <w:ilvl w:val="0"/>
          <w:numId w:val="1"/>
        </w:numPr>
        <w:kinsoku/>
        <w:wordWrap/>
        <w:overflowPunct/>
        <w:topLinePunct w:val="0"/>
        <w:autoSpaceDE/>
        <w:autoSpaceDN/>
        <w:bidi w:val="0"/>
        <w:adjustRightInd/>
        <w:snapToGrid w:val="0"/>
        <w:spacing w:line="600" w:lineRule="exact"/>
        <w:ind w:left="0" w:lef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国际跳棋赛事活动参与人员对赛事组委会和各级棋牌主管部门处理决定不服的，可依据相关规定向相应的部门申诉，认定原处理有误的，应当立即予以纠正。申诉期间不影响处理决定的执行。</w:t>
      </w:r>
    </w:p>
    <w:p>
      <w:pPr>
        <w:pStyle w:val="9"/>
        <w:keepNext w:val="0"/>
        <w:keepLines w:val="0"/>
        <w:pageBreakBefore w:val="0"/>
        <w:numPr>
          <w:ilvl w:val="0"/>
          <w:numId w:val="1"/>
        </w:numPr>
        <w:kinsoku/>
        <w:wordWrap/>
        <w:overflowPunct/>
        <w:topLinePunct w:val="0"/>
        <w:autoSpaceDE/>
        <w:autoSpaceDN/>
        <w:bidi w:val="0"/>
        <w:adjustRightInd/>
        <w:snapToGrid w:val="0"/>
        <w:spacing w:line="600" w:lineRule="exact"/>
        <w:ind w:left="0" w:lef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对外国运动员、教练员、裁判员等人员参加中国境内举办国际跳棋赛事活动的赛场行为管理，参照本细则执行。国际跳棋赛事活动组织者应当督促外国运动员、教练员、裁判员等人员遵守中国法律，尊重中国国旗、国歌。</w:t>
      </w:r>
    </w:p>
    <w:p>
      <w:pPr>
        <w:pStyle w:val="9"/>
        <w:keepNext w:val="0"/>
        <w:keepLines w:val="0"/>
        <w:pageBreakBefore w:val="0"/>
        <w:numPr>
          <w:ilvl w:val="0"/>
          <w:numId w:val="1"/>
        </w:numPr>
        <w:kinsoku/>
        <w:wordWrap/>
        <w:overflowPunct/>
        <w:topLinePunct w:val="0"/>
        <w:autoSpaceDE/>
        <w:autoSpaceDN/>
        <w:bidi w:val="0"/>
        <w:adjustRightInd/>
        <w:snapToGrid w:val="0"/>
        <w:spacing w:line="600" w:lineRule="exact"/>
        <w:ind w:left="0" w:lef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《细则》自公布之日起实施，由中国</w:t>
      </w:r>
      <w:r>
        <w:rPr>
          <w:rFonts w:hint="eastAsia" w:ascii="仿宋_GB2312" w:hAnsi="仿宋_GB2312" w:eastAsia="仿宋_GB2312" w:cs="仿宋_GB2312"/>
          <w:sz w:val="32"/>
          <w:szCs w:val="32"/>
          <w:highlight w:val="none"/>
          <w:lang w:val="en-US" w:eastAsia="zh-CN"/>
        </w:rPr>
        <w:t>国际跳棋</w:t>
      </w:r>
      <w:r>
        <w:rPr>
          <w:rFonts w:hint="eastAsia" w:ascii="仿宋_GB2312" w:hAnsi="仿宋_GB2312" w:eastAsia="仿宋_GB2312" w:cs="仿宋_GB2312"/>
          <w:sz w:val="32"/>
          <w:szCs w:val="32"/>
          <w:highlight w:val="none"/>
        </w:rPr>
        <w:t>协会负责解释。</w:t>
      </w:r>
      <w:r>
        <w:rPr>
          <w:rFonts w:hint="eastAsia" w:ascii="仿宋_GB2312" w:hAnsi="仿宋_GB2312" w:eastAsia="仿宋_GB2312" w:cs="仿宋_GB2312"/>
          <w:sz w:val="32"/>
          <w:szCs w:val="32"/>
          <w:highlight w:val="none"/>
          <w:lang w:val="en-US" w:eastAsia="zh-CN"/>
        </w:rPr>
        <w:t>2011年9月27日</w:t>
      </w:r>
      <w:r>
        <w:rPr>
          <w:rFonts w:hint="eastAsia" w:ascii="仿宋_GB2312" w:hAnsi="仿宋_GB2312" w:eastAsia="仿宋_GB2312" w:cs="仿宋_GB2312"/>
          <w:sz w:val="32"/>
          <w:szCs w:val="32"/>
          <w:highlight w:val="none"/>
        </w:rPr>
        <w:t>中国</w:t>
      </w:r>
      <w:r>
        <w:rPr>
          <w:rFonts w:hint="eastAsia" w:ascii="仿宋_GB2312" w:hAnsi="仿宋_GB2312" w:eastAsia="仿宋_GB2312" w:cs="仿宋_GB2312"/>
          <w:sz w:val="32"/>
          <w:szCs w:val="32"/>
          <w:highlight w:val="none"/>
          <w:lang w:val="en-US" w:eastAsia="zh-CN"/>
        </w:rPr>
        <w:t>国际跳棋</w:t>
      </w:r>
      <w:r>
        <w:rPr>
          <w:rFonts w:hint="eastAsia" w:ascii="仿宋_GB2312" w:hAnsi="仿宋_GB2312" w:eastAsia="仿宋_GB2312" w:cs="仿宋_GB2312"/>
          <w:sz w:val="32"/>
          <w:szCs w:val="32"/>
          <w:highlight w:val="none"/>
        </w:rPr>
        <w:t>协会</w:t>
      </w:r>
      <w:r>
        <w:rPr>
          <w:rFonts w:hint="eastAsia" w:ascii="仿宋_GB2312" w:hAnsi="仿宋_GB2312" w:eastAsia="仿宋_GB2312" w:cs="仿宋_GB2312"/>
          <w:sz w:val="32"/>
          <w:szCs w:val="32"/>
          <w:highlight w:val="none"/>
          <w:lang w:val="en-US" w:eastAsia="zh-CN"/>
        </w:rPr>
        <w:t>发布的《</w:t>
      </w:r>
      <w:r>
        <w:rPr>
          <w:rFonts w:hint="eastAsia" w:ascii="仿宋_GB2312" w:hAnsi="仿宋_GB2312" w:eastAsia="仿宋_GB2312" w:cs="仿宋_GB2312"/>
          <w:sz w:val="32"/>
          <w:szCs w:val="32"/>
          <w:highlight w:val="none"/>
        </w:rPr>
        <w:t>国际跳棋运动员参赛行为规范</w:t>
      </w:r>
      <w:r>
        <w:rPr>
          <w:rFonts w:hint="eastAsia" w:ascii="仿宋_GB2312" w:hAnsi="仿宋_GB2312" w:eastAsia="仿宋_GB2312" w:cs="仿宋_GB2312"/>
          <w:sz w:val="32"/>
          <w:szCs w:val="32"/>
          <w:highlight w:val="none"/>
          <w:lang w:val="en-US" w:eastAsia="zh-CN"/>
        </w:rPr>
        <w:t>》同时废止。</w:t>
      </w:r>
    </w:p>
    <w:p>
      <w:pPr>
        <w:pStyle w:val="9"/>
        <w:keepNext w:val="0"/>
        <w:keepLines w:val="0"/>
        <w:pageBreakBefore w:val="0"/>
        <w:numPr>
          <w:ilvl w:val="0"/>
          <w:numId w:val="0"/>
        </w:numPr>
        <w:kinsoku/>
        <w:wordWrap/>
        <w:overflowPunct/>
        <w:topLinePunct w:val="0"/>
        <w:autoSpaceDE/>
        <w:autoSpaceDN/>
        <w:bidi w:val="0"/>
        <w:adjustRightInd/>
        <w:snapToGrid w:val="0"/>
        <w:spacing w:line="600" w:lineRule="exact"/>
        <w:jc w:val="left"/>
        <w:textAlignment w:val="auto"/>
        <w:rPr>
          <w:rFonts w:hint="default" w:ascii="仿宋_GB2312" w:hAnsi="仿宋_GB2312" w:eastAsia="仿宋_GB2312" w:cs="仿宋_GB2312"/>
          <w:sz w:val="32"/>
          <w:szCs w:val="32"/>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4F476F"/>
    <w:multiLevelType w:val="singleLevel"/>
    <w:tmpl w:val="A94F476F"/>
    <w:lvl w:ilvl="0" w:tentative="0">
      <w:start w:val="1"/>
      <w:numFmt w:val="chineseCounting"/>
      <w:suff w:val="nothing"/>
      <w:lvlText w:val="（%1）"/>
      <w:lvlJc w:val="left"/>
      <w:pPr>
        <w:ind w:left="0" w:firstLine="420"/>
      </w:pPr>
      <w:rPr>
        <w:rFonts w:hint="eastAsia"/>
      </w:rPr>
    </w:lvl>
  </w:abstractNum>
  <w:abstractNum w:abstractNumId="1">
    <w:nsid w:val="AE039FF5"/>
    <w:multiLevelType w:val="singleLevel"/>
    <w:tmpl w:val="AE039FF5"/>
    <w:lvl w:ilvl="0" w:tentative="0">
      <w:start w:val="1"/>
      <w:numFmt w:val="chineseCounting"/>
      <w:suff w:val="nothing"/>
      <w:lvlText w:val="（%1）"/>
      <w:lvlJc w:val="left"/>
      <w:pPr>
        <w:ind w:left="0" w:firstLine="420"/>
      </w:pPr>
      <w:rPr>
        <w:rFonts w:hint="eastAsia"/>
      </w:rPr>
    </w:lvl>
  </w:abstractNum>
  <w:abstractNum w:abstractNumId="2">
    <w:nsid w:val="E197FADA"/>
    <w:multiLevelType w:val="singleLevel"/>
    <w:tmpl w:val="E197FADA"/>
    <w:lvl w:ilvl="0" w:tentative="0">
      <w:start w:val="1"/>
      <w:numFmt w:val="chineseCounting"/>
      <w:suff w:val="nothing"/>
      <w:lvlText w:val="（%1）"/>
      <w:lvlJc w:val="left"/>
      <w:pPr>
        <w:ind w:left="0" w:firstLine="420"/>
      </w:pPr>
      <w:rPr>
        <w:rFonts w:hint="eastAsia"/>
      </w:rPr>
    </w:lvl>
  </w:abstractNum>
  <w:abstractNum w:abstractNumId="3">
    <w:nsid w:val="2883EE49"/>
    <w:multiLevelType w:val="singleLevel"/>
    <w:tmpl w:val="2883EE49"/>
    <w:lvl w:ilvl="0" w:tentative="0">
      <w:start w:val="1"/>
      <w:numFmt w:val="chineseCounting"/>
      <w:suff w:val="nothing"/>
      <w:lvlText w:val="（%1）"/>
      <w:lvlJc w:val="left"/>
      <w:pPr>
        <w:ind w:left="0" w:firstLine="420"/>
      </w:pPr>
      <w:rPr>
        <w:rFonts w:hint="eastAsia"/>
      </w:rPr>
    </w:lvl>
  </w:abstractNum>
  <w:abstractNum w:abstractNumId="4">
    <w:nsid w:val="4CCD5C18"/>
    <w:multiLevelType w:val="singleLevel"/>
    <w:tmpl w:val="4CCD5C18"/>
    <w:lvl w:ilvl="0" w:tentative="0">
      <w:start w:val="1"/>
      <w:numFmt w:val="chineseCounting"/>
      <w:suff w:val="nothing"/>
      <w:lvlText w:val="第%1条"/>
      <w:lvlJc w:val="left"/>
      <w:pPr>
        <w:ind w:left="0" w:firstLine="420"/>
      </w:pPr>
      <w:rPr>
        <w:rFonts w:hint="eastAsia" w:eastAsia="黑体"/>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OTFmNzIyMjViYTJiZWE4MGNmYmNhOTk4Yjg5ZDIifQ=="/>
  </w:docVars>
  <w:rsids>
    <w:rsidRoot w:val="40852A2F"/>
    <w:rsid w:val="0034754A"/>
    <w:rsid w:val="40852A2F"/>
    <w:rsid w:val="43850F9A"/>
    <w:rsid w:val="4F4B2327"/>
    <w:rsid w:val="6BAA43A9"/>
    <w:rsid w:val="6F08184D"/>
    <w:rsid w:val="7252101A"/>
    <w:rsid w:val="7E3349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bCs/>
    </w:rPr>
  </w:style>
  <w:style w:type="character" w:styleId="8">
    <w:name w:val="Hyperlink"/>
    <w:basedOn w:val="6"/>
    <w:qFormat/>
    <w:uiPriority w:val="0"/>
    <w:rPr>
      <w:color w:val="0000FF"/>
      <w:u w:val="single"/>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2070</Words>
  <Characters>2074</Characters>
  <Lines>0</Lines>
  <Paragraphs>0</Paragraphs>
  <TotalTime>13</TotalTime>
  <ScaleCrop>false</ScaleCrop>
  <LinksUpToDate>false</LinksUpToDate>
  <CharactersWithSpaces>2097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2022-06-10T07:42:00Z</dcterms:created>
  <dc:creator>Hanks</dc:creator>
  <cp:lastModifiedBy>Hanks</cp:lastModifiedBy>
  <cp:lastPrinted>2022-06-24T00:47:00Z</cp:lastPrinted>
  <dcterms:modified xsi:type="dcterms:W3CDTF">2022-06-27T07:02:27Z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82A3CAA69C8E46F48DBB5EA57DD67186</vt:lpwstr>
  </property>
</Properties>
</file>