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附件：</w:t>
      </w:r>
    </w:p>
    <w:p>
      <w:pPr>
        <w:jc w:val="center"/>
        <w:rPr>
          <w:rFonts w:ascii="宋体" w:hAnsi="宋体" w:eastAsia="宋体" w:cs="宋体"/>
          <w:b/>
          <w:bCs/>
          <w:sz w:val="32"/>
          <w:szCs w:val="40"/>
        </w:rPr>
      </w:pPr>
      <w:r>
        <w:rPr>
          <w:rFonts w:hint="eastAsia" w:ascii="宋体" w:hAnsi="宋体" w:eastAsia="宋体" w:cs="宋体"/>
          <w:b/>
          <w:bCs/>
          <w:sz w:val="32"/>
          <w:szCs w:val="40"/>
        </w:rPr>
        <w:t>“全民健身线上运动会”</w:t>
      </w: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--</w:t>
      </w:r>
      <w:r>
        <w:rPr>
          <w:rFonts w:hint="eastAsia" w:ascii="宋体" w:hAnsi="宋体" w:eastAsia="宋体" w:cs="宋体"/>
          <w:b/>
          <w:bCs/>
          <w:sz w:val="32"/>
          <w:szCs w:val="40"/>
        </w:rPr>
        <w:t>全民桥牌个人网络赛</w:t>
      </w:r>
    </w:p>
    <w:p>
      <w:pPr>
        <w:jc w:val="center"/>
        <w:rPr>
          <w:rFonts w:ascii="宋体" w:hAnsi="宋体" w:eastAsia="宋体" w:cs="宋体"/>
          <w:b/>
          <w:bCs/>
          <w:sz w:val="32"/>
          <w:szCs w:val="40"/>
        </w:rPr>
      </w:pPr>
      <w:r>
        <w:rPr>
          <w:rFonts w:hint="eastAsia" w:ascii="宋体" w:hAnsi="宋体" w:eastAsia="宋体" w:cs="宋体"/>
          <w:b/>
          <w:bCs/>
          <w:sz w:val="32"/>
          <w:szCs w:val="40"/>
        </w:rPr>
        <w:t>竞赛规程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举办单位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国家体育总局群体司、中华全国体育总会群体部、国家体育总局棋牌运动管理中心、中国桥牌协会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二、时间和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平台</w:t>
      </w:r>
    </w:p>
    <w:p>
      <w:pPr>
        <w:pStyle w:val="4"/>
        <w:ind w:left="420" w:firstLine="0" w:firstLineChars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2022年5月21-30日在新睿桥牌APP进行。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三、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比赛办法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通过新睿桥牌“每日MP赛”进行比赛，每天1场，共12副牌。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每日比赛按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手当日黄金分进行排名，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总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排名根据参赛选手在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所有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比赛日（5月21-30日）中黄金分成绩最好的7场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比赛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平均黄金分进行排名。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每日比赛中，取MP成绩在58%-80%之间的参赛选手成绩的平均值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作为当日“黄金点”。参赛选手每日获得的黄金分=|牌手当日MP成绩-当日黄金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点|，黄金分小者排名在前。黄金分相同，则新睿大师分高的排名在前。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 比赛奖励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中国桥牌协会个人会员中的日排名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和总排名优胜者按照《中国桥牌协会会员技术等级标准》授予中国桥牌协会网络大师分（蓝分）。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）所有完成单场比赛的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选手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都将获得体育总局群体司颁发的电子参赛证书。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）当日黄金分排名第一的选手获得中国桥牌协会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个人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会员资格1年的奖励。每日奖励1人，每月每人最多获奖励1次。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、参赛办法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所有中国桥牌协会个人会员和爱好者均可免费参加。比赛无需报名，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比赛期间登录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新睿桥牌APP中找到“每日MP赛”，完成每日的12副牌即可。每天比赛0:10开赛，24:00结束。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客户端下载地址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六、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赛事联络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在新睿桥牌app中联系新睿客服。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其它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比赛最终解释权归组委会所有，未尽事宜，另行通知。</w:t>
      </w:r>
    </w:p>
    <w:p>
      <w:pPr>
        <w:ind w:right="112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ind w:right="112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ind w:right="112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ind w:right="112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8FBDB1"/>
    <w:multiLevelType w:val="singleLevel"/>
    <w:tmpl w:val="128FBDB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F0CD7A1"/>
    <w:multiLevelType w:val="singleLevel"/>
    <w:tmpl w:val="6F0CD7A1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1NzMxYWRhOTFjZmQyNWE4ZjZkNjIwNzcyNWU2ZmYifQ=="/>
  </w:docVars>
  <w:rsids>
    <w:rsidRoot w:val="38743264"/>
    <w:rsid w:val="38743264"/>
    <w:rsid w:val="3A22497C"/>
    <w:rsid w:val="6A3B3E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584</Words>
  <Characters>643</Characters>
  <Lines>0</Lines>
  <Paragraphs>0</Paragraphs>
  <TotalTime>2</TotalTime>
  <ScaleCrop>false</ScaleCrop>
  <LinksUpToDate>false</LinksUpToDate>
  <CharactersWithSpaces>648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2022-05-16T03:37:00Z</dcterms:created>
  <dc:creator>水月洞天</dc:creator>
  <cp:lastModifiedBy>刘云伟</cp:lastModifiedBy>
  <dcterms:modified xsi:type="dcterms:W3CDTF">2022-11-16T02:39:52Z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704281331FB74C80950A6CC1AC108668</vt:lpwstr>
  </property>
</Properties>
</file>