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left"/>
        <w:textAlignment w:val="auto"/>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附件：</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23" w:firstLineChars="200"/>
        <w:jc w:val="center"/>
        <w:textAlignment w:val="auto"/>
        <w:rPr>
          <w:rStyle w:val="5"/>
          <w:rFonts w:hint="eastAsia" w:ascii="宋体" w:hAnsi="宋体" w:eastAsia="宋体" w:cs="宋体"/>
          <w:b/>
          <w:bCs/>
          <w:sz w:val="36"/>
          <w:szCs w:val="36"/>
          <w:shd w:val="clear" w:color="auto" w:fill="FFFFFF"/>
          <w:lang w:val="en-US" w:eastAsia="zh-CN"/>
        </w:rPr>
      </w:pPr>
      <w:r>
        <w:rPr>
          <w:rStyle w:val="5"/>
          <w:rFonts w:hint="eastAsia" w:ascii="宋体" w:hAnsi="宋体" w:cs="宋体"/>
          <w:b/>
          <w:bCs/>
          <w:sz w:val="36"/>
          <w:szCs w:val="36"/>
          <w:shd w:val="clear" w:color="auto" w:fill="FFFFFF"/>
          <w:lang w:eastAsia="zh-CN"/>
        </w:rPr>
        <w:t>“</w:t>
      </w:r>
      <w:r>
        <w:rPr>
          <w:rStyle w:val="5"/>
          <w:rFonts w:hint="eastAsia" w:ascii="宋体" w:hAnsi="宋体" w:eastAsia="宋体" w:cs="宋体"/>
          <w:b/>
          <w:bCs/>
          <w:sz w:val="36"/>
          <w:szCs w:val="36"/>
          <w:shd w:val="clear" w:color="auto" w:fill="FFFFFF"/>
        </w:rPr>
        <w:t>全民健身线上运动会</w:t>
      </w:r>
      <w:r>
        <w:rPr>
          <w:rStyle w:val="5"/>
          <w:rFonts w:hint="default" w:ascii="宋体" w:hAnsi="宋体" w:cs="宋体"/>
          <w:b/>
          <w:bCs/>
          <w:sz w:val="36"/>
          <w:szCs w:val="36"/>
          <w:shd w:val="clear" w:color="auto" w:fill="FFFFFF"/>
          <w:lang w:val="en-US"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23" w:firstLineChars="200"/>
        <w:jc w:val="center"/>
        <w:textAlignment w:val="auto"/>
        <w:rPr>
          <w:rStyle w:val="5"/>
          <w:rFonts w:hint="eastAsia" w:ascii="宋体" w:hAnsi="宋体" w:eastAsia="宋体" w:cs="宋体"/>
          <w:b/>
          <w:bCs/>
          <w:sz w:val="36"/>
          <w:szCs w:val="36"/>
          <w:shd w:val="clear" w:color="auto" w:fill="FFFFFF"/>
        </w:rPr>
      </w:pPr>
      <w:r>
        <w:rPr>
          <w:rStyle w:val="5"/>
          <w:rFonts w:hint="eastAsia" w:ascii="宋体" w:hAnsi="宋体" w:eastAsia="宋体" w:cs="宋体"/>
          <w:b/>
          <w:bCs/>
          <w:sz w:val="36"/>
          <w:szCs w:val="36"/>
          <w:shd w:val="clear" w:color="auto" w:fill="FFFFFF"/>
        </w:rPr>
        <w:t>2022年全国桥牌周末分级双人系列赛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23" w:firstLineChars="200"/>
        <w:jc w:val="center"/>
        <w:textAlignment w:val="auto"/>
        <w:rPr>
          <w:rFonts w:hint="eastAsia" w:ascii="宋体" w:hAnsi="宋体" w:eastAsia="宋体" w:cs="宋体"/>
          <w:b/>
          <w:bCs/>
          <w:sz w:val="36"/>
          <w:szCs w:val="36"/>
        </w:rPr>
      </w:pPr>
      <w:r>
        <w:rPr>
          <w:rStyle w:val="5"/>
          <w:rFonts w:hint="eastAsia" w:ascii="宋体" w:hAnsi="宋体" w:eastAsia="宋体" w:cs="宋体"/>
          <w:b/>
          <w:bCs/>
          <w:sz w:val="36"/>
          <w:szCs w:val="36"/>
          <w:shd w:val="clear" w:color="auto" w:fill="FFFFFF"/>
        </w:rPr>
        <w:t>竞赛规程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 一、组织单位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（一）主办单位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国家体育总局群体司</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中华全国体育总会群体部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国家体育总局棋牌运动管理中心</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中国桥牌协会</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（二）推广单位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北京博睿创维体育发展股份有限公司</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（三）支持平台</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金桥在线</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二、比赛时间平台</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（一）比赛时间</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于5月-6月举行，共举办6场。各场次日期分别为：5月14日、5月15日、5月21日、5月28日、5月29日、6月5日，比赛开始时间为下午14:00。</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（二）比赛平台：金桥在线。</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三、竞赛项目</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（一）分组双人赛，以人人网络赛形式进行。</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（二）比赛根据报名选手的中国桥牌协会个人会员技术等级，分为三个组别：国家级大师组、俱乐部大师组、无等级组。</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四、参加办法</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（一）中国桥牌协会个人会员和广大桥牌爱好者均可免费报名参赛。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（二）参赛者在中国桥牌网赛事专题进行报名，在报名时必须填写真实姓名。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（三）每场比赛允许更换搭档报名参赛，每场比赛中不得更换搭档。每场比赛的报名截止时间为比赛当日10:00，报名截止时间前参赛者可凭报名PIN码修改和删除报名信息（弃权）。</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（四）各组别参赛选手技术等级要求</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1.国家级大师组：个人会员均可参加。搭档中至少1人拥有国家级大师及以上技术等级。</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2.俱乐部大师组：国家级大师及以上等级会员外的个人会员均可参加。搭档中至少1人为俱乐部大师或地区大师。</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3.无等级组：除有技术等级（不含入级牌手等级）的个人会员外的其他个人会员和爱好者均可参加。</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五、比赛办法</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（一）参赛者于每场规定比赛时间前登录“金桥在线”比赛平台，按报名组别自动进入比赛房间和座位。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（二）每场比赛24副牌，分8轮进行。每轮比赛时间为25分钟。到规定时间后自动进入下一轮比赛。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（三）每场比赛前2轮随机抽签对阵，从第3轮开始按隔轮编排原则进行积分编排。</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（四）开赛后10分钟内搭档两人均未进入赛桌开始比赛的参赛者视为放弃当轮参赛资格。连续两轮不参赛当场后续轮次比赛不再进行编排。</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（五）每场比赛采取分组别全场统一计分，以胜率排列名次。超过70%（含）的成绩为无效成绩，不列入单场和总成绩统计和奖励。</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六）各组别总排名取所有参赛场次中个人成绩最好的3场比赛黄金分之和，按总黄金分从低分到高分的顺序排列。该组别参赛场次未达到3场的不参与总成绩排名，跨组别的黄金分分别计算。黄金分总额相同时，正分次数（高出单场黄金点分数）多者列前。单场比赛黄金点为去除当场比赛成绩中前百分之二的最高分后，取剩余前百分之五参赛对成绩的平均值。单场黄金分为单场成绩与黄金点差额的绝对值。</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六、比赛成绩与奖励</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（一）以搭档成绩排列单场名次，以个人成绩排列总名次。</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（二）各组别单场比赛和总排名优胜者按照《中国桥牌协会会员技术等级标准》授予中国桥牌协会网络大师分（蓝分）。</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（三）各组别总排名前40名的参赛者，和单场比赛前10名将获得组委会颁发的电子成绩证书。</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（四）所有完成单场比赛的个人会员都将获得体育总局群体司颁发的电子参赛证书。</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（五）登录中国桥牌网个人会员，在“比赛-成绩证书”查看所获得的证书。</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七、赛事纪律与监督</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一）所有参赛者应自觉自律，并承诺以公平竞赛的原则参与比赛，主动维护比赛的完整性、公正性和严肃性，不得做出任何违反体育道德精神的行为。对于出现的赛风赛纪问题，将严格按照《桥牌赛事纪律准则与处罚规定（试行）》进行处理。</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二）赛事组委会成立裁判组对比赛进行全程监督，并受理比赛中出现的争议。参赛选手如对于桌上的进程和比赛结果有异议,请在比赛结束后2天内将投诉情况发送至组委会邮箱：qiaopaipeixun@163.com。邮件内容应包含对异常叫牌和打牌的记录和描述，如截屏和文字描述，并说明投诉的理由。简单怀疑不作为投诉的理由。裁判组在复议后进行裁决,裁决结果为本次赛事最终结果。</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（三）为确保比赛公平、公正、公开，金桥在线平台将对参赛者的比赛数据进行监督和记录。</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（四）中国桥协监督指导电话：010-87559167。</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 （五）本规程由中国桥牌协会负责解释，未尽事宜另行通知。</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jc w:val="left"/>
        <w:textAlignment w:val="auto"/>
        <w:rPr>
          <w:rFonts w:hint="eastAsia" w:ascii="仿宋" w:hAnsi="仿宋" w:eastAsia="仿宋" w:cs="仿宋"/>
          <w:sz w:val="32"/>
          <w:szCs w:val="32"/>
          <w:shd w:val="clear" w:color="auto" w:fill="FFFFFF"/>
          <w:lang w:val="en-US" w:eastAsia="zh-CN"/>
        </w:rPr>
      </w:pPr>
    </w:p>
    <w:p>
      <w:pPr>
        <w:rPr>
          <w:rFonts w:hint="eastAsia" w:ascii="仿宋" w:hAnsi="仿宋" w:eastAsia="仿宋" w:cs="仿宋"/>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A18DF"/>
    <w:rsid w:val="034A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Calibri" w:hAnsi="Calibri" w:eastAsia="宋体" w:cs="Times New Roman"/>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2022-05-07T01:42:00Z</dcterms:created>
  <dc:creator>水月洞天</dc:creator>
  <cp:lastModifiedBy>水月洞天</cp:lastModifiedBy>
  <dcterms:modified xsi:type="dcterms:W3CDTF">2022-05-07T01:43:15Z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39E0724F6C214B57B1988B97E94BFE73</vt:lpwstr>
  </property>
</Properties>
</file>