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lang w:eastAsia="zh-CN"/>
        </w:rPr>
      </w:pPr>
      <w:bookmarkStart w:id="0" w:name="_GoBack"/>
      <w:bookmarkEnd w:id="0"/>
      <w:r>
        <w:rPr>
          <w:rFonts w:hint="eastAsia" w:ascii="仿宋" w:hAnsi="仿宋" w:eastAsia="仿宋" w:cs="仿宋"/>
          <w:color w:val="auto"/>
          <w:sz w:val="32"/>
          <w:szCs w:val="32"/>
          <w:lang w:eastAsia="zh-CN"/>
        </w:rPr>
        <w:t>附件：</w:t>
      </w:r>
    </w:p>
    <w:p>
      <w:pPr>
        <w:jc w:val="center"/>
        <w:rPr>
          <w:rFonts w:hint="eastAsia"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2022年全国桥牌网络通讯赛</w:t>
      </w:r>
      <w:r>
        <w:rPr>
          <w:rFonts w:hint="eastAsia" w:ascii="宋体" w:hAnsi="宋体" w:eastAsia="宋体" w:cs="宋体"/>
          <w:b/>
          <w:bCs/>
          <w:color w:val="auto"/>
          <w:sz w:val="36"/>
          <w:szCs w:val="36"/>
          <w:lang w:val="en-US" w:eastAsia="zh-CN"/>
        </w:rPr>
        <w:t>竞赛规程</w:t>
      </w:r>
    </w:p>
    <w:p>
      <w:pPr>
        <w:jc w:val="center"/>
        <w:rPr>
          <w:rFonts w:hint="eastAsia" w:ascii="宋体" w:hAnsi="宋体" w:eastAsia="宋体" w:cs="宋体"/>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一、比赛时间地点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（一）比赛时间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2022年全国桥牌网络通讯赛将在3月-12月每个月举行，共举办10场。各场次日期分别为：3月27日、4月23日、5月22日、6月19日、7月24日、8月21日、9月25日、10月23日、11月20日、12月25日，各场比赛开始时间以具体通知为准，一般为下午14: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（二）比赛平台：金桥在线。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二、竞赛项目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（一）分组双人赛，以人人网络赛形式进行。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（二）比赛根据报名选手的中国桥牌协会个人会员技术等级，分为三个组别：国家级大师组、俱乐部大师组、无等级组。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三、参加办法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（一）中国桥牌协会个人会员和广大桥牌爱好者均可免费报名参赛。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（二）参赛者在中国桥牌网赛事专题进行报名，在报名时必须填写真实姓名。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（三）各月比赛允许更换搭档报名参赛，每月比赛中不得更换搭档。每月比赛的报名截止时间为比赛前1天17:00，报名截止时间前参赛者可凭报名PIN码修改和删除报名信息（弃权）。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（四）各组别参赛选手技术等级要求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1.国家级大师组：个人会员均可参加。搭档中至少1人拥有国家级大师及以上技术等级。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2.俱乐部大师组：国家级大师及以上等级会员外的个人会员均可参加。搭档中至少1人为俱乐部大师或地区大师。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3.无等级组：除有技术等级（不含入级牌手等级）的个人会员外的其他个人会员和爱好者均可参加。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四、比赛办法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（一）参赛者于每月规定比赛时间前登录“金桥在线”比赛平台，按报名组别自动进入比赛房间和座位。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（二）比赛每月进行1场，每场比赛24副牌，分8轮进行。每轮比赛时间为25分钟。到规定时间后自动进入下一轮比赛。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（三）每月比赛前2轮随机抽签对阵，从第3轮开始按隔轮编排原则进行积分编排。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（四）开赛后10分钟内搭档两人均未进入赛桌开始比赛的参赛者视为放弃当轮参赛资格。连续两轮不参赛当月后续轮次比赛不再进行编排。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（五）每月比赛采取分组别全场统一计分，以胜率排列名次。超过70%（含）的成绩为无效成绩，不列入单月和总成绩统计和奖励。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六）各组别总排名取所有参赛场次中个人成绩最好的6场比赛黄金分之和，按总黄金分从低分到高分的顺序排列。该组别参赛场次未达到6场的不参与总成绩排名，跨组别的黄金分分别计算。黄金分总额相同时，正分次数（高出单场黄金点分数）多者列前。单场比赛黄金点为去除当月比赛成绩中前百分之二的最高分后，取剩余前百分之五参赛对成绩的平均值。单场黄金分为单场成绩与黄金点差额的绝对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五、比赛成绩与奖励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（一）以搭档成绩排列单月名次，以个人成绩排列总名次。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（二）各组别单月比赛和总排名优胜者按照《中国桥牌协会会员技术等级标准》授予中国桥牌协会网络大师分（蓝分）。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（三）各组别总排名前100名的参赛者，和单月比赛前10名将获得中国桥牌协会颁发的电子成绩证书。所有完成单月比赛的个人会员都将获得中国桥牌协会颁发的电子参赛证书。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六、赛事纪律与监督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所有参赛者应自觉自律，并承诺以公平竞赛的原则参与比赛，主动维护比赛的完整性、公正性和严肃性，不得做出任何违反体育道德精神的行为。对于出现的赛风赛纪问题，将严格按照《桥牌赛事纪律准则与处罚规定（试行）》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二）赛事组委会成立裁判组对比赛进行全程监督，并受理比赛中出现的争议。参赛选手如对于桌上的进程和比赛结果有异议,请在比赛结束后2天内将投诉情况发送至组委会邮箱：qiaopaipeixun@163.com。邮件内容应包含对异常叫牌和打牌的记录和描述，如截屏和文字描述，并说明投诉的理由。简单怀疑不作为投诉的理由。裁判组在复议后进行裁决,裁决结果为本次赛事最终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（三）为确保比赛公平、公正、公开，金桥在线平台将对参赛者的比赛数据进行监督和记录。</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中国桥协监督指导电话：010-87559167，联系人：车宇。</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七、其他事宜、另行通知。</w:t>
      </w:r>
    </w:p>
    <w:p>
      <w:pPr>
        <w:rPr>
          <w:rFonts w:hint="default" w:ascii="仿宋" w:hAnsi="仿宋" w:eastAsia="仿宋"/>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2F75D"/>
    <w:multiLevelType w:val="singleLevel"/>
    <w:tmpl w:val="1622F75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36366"/>
    <w:rsid w:val="2A201758"/>
    <w:rsid w:val="3A63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2022-02-22T08:15:00Z</dcterms:created>
  <dc:creator>水月洞天</dc:creator>
  <cp:lastModifiedBy>水月洞天</cp:lastModifiedBy>
  <dcterms:modified xsi:type="dcterms:W3CDTF">2022-02-22T08:29:43Z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FA16ED68FB714627B0A320916E7953B1</vt:lpwstr>
  </property>
</Properties>
</file>