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wordWrap/>
        <w:jc w:val="both"/>
        <w:rPr>
          <w:rFonts w:hint="eastAsia" w:ascii="仿宋_GB2312" w:hAnsi="仿宋_GB2312" w:eastAsia="仿宋_GB2312" w:cs="仿宋_GB2312"/>
          <w:sz w:val="32"/>
          <w:szCs w:val="32"/>
          <w:lang w:val="en-US" w:eastAsia="zh-CN"/>
        </w:rPr>
      </w:pPr>
    </w:p>
    <w:p>
      <w:pPr>
        <w:wordWrap/>
        <w:jc w:val="center"/>
        <w:rPr>
          <w:rFonts w:hint="eastAsia" w:ascii="宋体" w:hAnsi="宋体" w:eastAsia="宋体" w:cs="宋体"/>
          <w:b/>
          <w:bCs/>
          <w:sz w:val="36"/>
          <w:szCs w:val="36"/>
          <w:lang w:val="en-US" w:eastAsia="zh-CN"/>
        </w:rPr>
      </w:pPr>
      <w:bookmarkStart w:id="23" w:name="_GoBack"/>
      <w:r>
        <w:rPr>
          <w:rFonts w:hint="eastAsia" w:ascii="宋体" w:hAnsi="宋体" w:eastAsia="宋体" w:cs="宋体"/>
          <w:b/>
          <w:bCs/>
          <w:sz w:val="36"/>
          <w:szCs w:val="36"/>
          <w:lang w:val="en-US" w:eastAsia="zh-CN"/>
        </w:rPr>
        <w:t>2022年第七届“泰州海陵杯”全国象棋业余棋王赛</w:t>
      </w:r>
    </w:p>
    <w:p>
      <w:pPr>
        <w:wordWrap/>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竞赛方案</w:t>
      </w:r>
    </w:p>
    <w:bookmarkEnd w:id="23"/>
    <w:p>
      <w:pPr>
        <w:wordWrap/>
        <w:jc w:val="both"/>
        <w:rPr>
          <w:rFonts w:hint="eastAsia" w:ascii="仿宋_GB2312" w:hAnsi="仿宋_GB2312" w:eastAsia="仿宋_GB2312" w:cs="仿宋_GB2312"/>
          <w:sz w:val="32"/>
          <w:szCs w:val="32"/>
          <w:lang w:val="en-US" w:eastAsia="zh-CN"/>
        </w:rPr>
      </w:pPr>
    </w:p>
    <w:p>
      <w:pPr>
        <w:pStyle w:val="8"/>
        <w:keepNext w:val="0"/>
        <w:keepLines w:val="0"/>
        <w:pageBreakBefore w:val="0"/>
        <w:widowControl w:val="0"/>
        <w:numPr>
          <w:ilvl w:val="0"/>
          <w:numId w:val="1"/>
        </w:numPr>
        <w:shd w:val="clear" w:color="auto" w:fill="auto"/>
        <w:tabs>
          <w:tab w:val="left" w:pos="1208"/>
        </w:tabs>
        <w:kinsoku/>
        <w:wordWrap/>
        <w:overflowPunct/>
        <w:topLinePunct w:val="0"/>
        <w:autoSpaceDE/>
        <w:autoSpaceDN/>
        <w:bidi w:val="0"/>
        <w:adjustRightInd w:val="0"/>
        <w:snapToGrid w:val="0"/>
        <w:spacing w:before="0" w:line="560" w:lineRule="exact"/>
        <w:ind w:left="0" w:leftChars="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指导</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单位：国家体育总局棋牌运动管理中心、中国象棋协会</w:t>
      </w:r>
    </w:p>
    <w:p>
      <w:pPr>
        <w:pStyle w:val="8"/>
        <w:keepNext w:val="0"/>
        <w:keepLines w:val="0"/>
        <w:pageBreakBefore w:val="0"/>
        <w:widowControl w:val="0"/>
        <w:numPr>
          <w:ilvl w:val="0"/>
          <w:numId w:val="1"/>
        </w:numPr>
        <w:shd w:val="clear" w:color="auto" w:fill="auto"/>
        <w:tabs>
          <w:tab w:val="left" w:pos="1208"/>
        </w:tabs>
        <w:kinsoku/>
        <w:wordWrap/>
        <w:overflowPunct/>
        <w:topLinePunct w:val="0"/>
        <w:autoSpaceDE/>
        <w:autoSpaceDN/>
        <w:bidi w:val="0"/>
        <w:adjustRightInd w:val="0"/>
        <w:snapToGrid w:val="0"/>
        <w:spacing w:before="0" w:line="560" w:lineRule="exact"/>
        <w:ind w:left="0" w:leftChars="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预选赛主办</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单位：各省、市棋牌中心、象棋协会</w:t>
      </w:r>
    </w:p>
    <w:p>
      <w:pPr>
        <w:pStyle w:val="8"/>
        <w:keepNext w:val="0"/>
        <w:keepLines w:val="0"/>
        <w:pageBreakBefore w:val="0"/>
        <w:widowControl w:val="0"/>
        <w:numPr>
          <w:ilvl w:val="0"/>
          <w:numId w:val="1"/>
        </w:numPr>
        <w:shd w:val="clear" w:color="auto" w:fill="auto"/>
        <w:tabs>
          <w:tab w:val="left" w:pos="1208"/>
        </w:tabs>
        <w:kinsoku/>
        <w:wordWrap/>
        <w:overflowPunct/>
        <w:topLinePunct w:val="0"/>
        <w:autoSpaceDE/>
        <w:autoSpaceDN/>
        <w:bidi w:val="0"/>
        <w:adjustRightInd w:val="0"/>
        <w:snapToGrid w:val="0"/>
        <w:spacing w:before="0" w:line="560" w:lineRule="exact"/>
        <w:ind w:left="0" w:leftChars="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运营</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单位：北京中体明星体育文化传播有限公司</w:t>
      </w:r>
    </w:p>
    <w:p>
      <w:pPr>
        <w:pStyle w:val="8"/>
        <w:keepNext w:val="0"/>
        <w:keepLines w:val="0"/>
        <w:pageBreakBefore w:val="0"/>
        <w:widowControl w:val="0"/>
        <w:numPr>
          <w:ilvl w:val="0"/>
          <w:numId w:val="1"/>
        </w:numPr>
        <w:shd w:val="clear" w:color="auto" w:fill="auto"/>
        <w:tabs>
          <w:tab w:val="left" w:pos="1208"/>
        </w:tabs>
        <w:kinsoku/>
        <w:wordWrap/>
        <w:overflowPunct/>
        <w:topLinePunct w:val="0"/>
        <w:autoSpaceDE/>
        <w:autoSpaceDN/>
        <w:bidi w:val="0"/>
        <w:adjustRightInd w:val="0"/>
        <w:snapToGrid w:val="0"/>
        <w:spacing w:before="0" w:line="560" w:lineRule="exact"/>
        <w:ind w:left="0" w:leftChars="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赛事级别、名称和比赛时间：</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比赛分为三个级别：1.全国总决赛；</w:t>
      </w:r>
      <w:r>
        <w:rPr>
          <w:rFonts w:hint="eastAsia" w:ascii="仿宋" w:hAnsi="仿宋" w:eastAsia="仿宋" w:cs="仿宋"/>
          <w:b w:val="0"/>
          <w:bCs w:val="0"/>
          <w:color w:val="000000" w:themeColor="text1"/>
          <w:spacing w:val="0"/>
          <w:w w:val="100"/>
          <w:position w:val="0"/>
          <w:sz w:val="32"/>
          <w:szCs w:val="32"/>
          <w:lang w:val="en-US" w:eastAsia="en-US" w:bidi="en-US"/>
          <w14:textFill>
            <w14:solidFill>
              <w14:schemeClr w14:val="tx1"/>
            </w14:solidFill>
          </w14:textFill>
        </w:rPr>
        <w:t>2.</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；3.预选赛。三个层级的人员参赛资格为依次递进</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（―）全国总决赛：比赛时间</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计划</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为</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2022</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年</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11</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月。</w:t>
      </w:r>
    </w:p>
    <w:p>
      <w:pPr>
        <w:pStyle w:val="8"/>
        <w:keepNext w:val="0"/>
        <w:keepLines w:val="0"/>
        <w:pageBreakBefore w:val="0"/>
        <w:widowControl w:val="0"/>
        <w:shd w:val="clear" w:color="auto" w:fill="auto"/>
        <w:tabs>
          <w:tab w:val="left" w:pos="1487"/>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0" w:name="bookmark8"/>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0"/>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二）</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：以省（自治区、直辖市）棋牌中心、象棋协会或计划单列市、行业体协为承办单位的区域赛事（例如：</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2022年第七届</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全国象棋业余棋王赛广东赛区）,各承办单位在预选赛基础上开展的总决赛应在赛区全部预选赛结束后举行。</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应在10月</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31</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日前举行完毕。</w:t>
      </w:r>
    </w:p>
    <w:p>
      <w:pPr>
        <w:pStyle w:val="8"/>
        <w:keepNext w:val="0"/>
        <w:keepLines w:val="0"/>
        <w:pageBreakBefore w:val="0"/>
        <w:widowControl w:val="0"/>
        <w:shd w:val="clear" w:color="auto" w:fill="auto"/>
        <w:tabs>
          <w:tab w:val="left" w:pos="1487"/>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 w:name="bookmark9"/>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1"/>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三）</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赛区预选赛:由省级单位优选本赛区内，象棋协会组织健全、活动开展有序的市（县、乡）级象棋协会作为承办单位的赛事（例如：</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2022年第七届</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全国象棋业余棋王赛广东赛区惠州预选赛）。</w:t>
      </w:r>
    </w:p>
    <w:p>
      <w:pPr>
        <w:pStyle w:val="8"/>
        <w:keepNext w:val="0"/>
        <w:keepLines w:val="0"/>
        <w:pageBreakBefore w:val="0"/>
        <w:widowControl w:val="0"/>
        <w:shd w:val="clear" w:color="auto" w:fill="auto"/>
        <w:tabs>
          <w:tab w:val="left" w:pos="1410"/>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2" w:name="bookmark10"/>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2"/>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赛事名称：以江苏省泰州市海陵区九龙镇办赛举例规范赛事名称：</w:t>
      </w:r>
    </w:p>
    <w:p>
      <w:pPr>
        <w:pStyle w:val="8"/>
        <w:keepNext w:val="0"/>
        <w:keepLines w:val="0"/>
        <w:pageBreakBefore w:val="0"/>
        <w:widowControl w:val="0"/>
        <w:shd w:val="clear" w:color="auto" w:fill="auto"/>
        <w:tabs>
          <w:tab w:val="left" w:pos="1200"/>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3" w:name="bookmark11"/>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1</w:t>
      </w:r>
      <w:bookmarkEnd w:id="3"/>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2022年第七届“泰州海陵杯”</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全国象棋业余棋王赛</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江苏</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赛区</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泰州</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市</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海陵区九龙镇</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预选赛</w:t>
      </w:r>
    </w:p>
    <w:p>
      <w:pPr>
        <w:pStyle w:val="8"/>
        <w:keepNext w:val="0"/>
        <w:keepLines w:val="0"/>
        <w:pageBreakBefore w:val="0"/>
        <w:widowControl w:val="0"/>
        <w:shd w:val="clear" w:color="auto" w:fill="auto"/>
        <w:tabs>
          <w:tab w:val="left" w:pos="1200"/>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4" w:name="bookmark12"/>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2</w:t>
      </w:r>
      <w:bookmarkEnd w:id="4"/>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．2022年第七届“泰州海陵杯”</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全国象棋业余棋王赛</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江苏</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赛区</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海陵</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区</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九龙</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镇预选赛</w:t>
      </w:r>
    </w:p>
    <w:p>
      <w:pPr>
        <w:pStyle w:val="8"/>
        <w:keepNext w:val="0"/>
        <w:keepLines w:val="0"/>
        <w:pageBreakBefore w:val="0"/>
        <w:widowControl w:val="0"/>
        <w:shd w:val="clear" w:color="auto" w:fill="auto"/>
        <w:tabs>
          <w:tab w:val="left" w:pos="1200"/>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5" w:name="bookmark13"/>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3</w:t>
      </w:r>
      <w:bookmarkEnd w:id="5"/>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2022年第七届“泰州海陵杯”</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全国象棋业余棋王赛</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江苏</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赛区</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九龙</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（镇）预选赛</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以上赛事名称均符合规范</w:t>
      </w:r>
      <w:bookmarkStart w:id="6" w:name="bookmark14"/>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p>
    <w:bookmarkEnd w:id="6"/>
    <w:p>
      <w:pPr>
        <w:pStyle w:val="8"/>
        <w:keepNext w:val="0"/>
        <w:keepLines w:val="0"/>
        <w:pageBreakBefore w:val="0"/>
        <w:widowControl w:val="0"/>
        <w:numPr>
          <w:ilvl w:val="0"/>
          <w:numId w:val="1"/>
        </w:numPr>
        <w:shd w:val="clear" w:color="auto" w:fill="auto"/>
        <w:kinsoku/>
        <w:wordWrap/>
        <w:overflowPunct/>
        <w:topLinePunct w:val="0"/>
        <w:autoSpaceDE/>
        <w:autoSpaceDN/>
        <w:bidi w:val="0"/>
        <w:adjustRightInd w:val="0"/>
        <w:snapToGrid w:val="0"/>
        <w:spacing w:before="0" w:line="560" w:lineRule="exact"/>
        <w:ind w:left="0" w:leftChars="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总决赛竞赛项目及组别设置</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（―）正式竞赛项目组别：</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1</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公开组：19</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62</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年1月1日</w:t>
      </w:r>
      <w:r>
        <w:rPr>
          <w:rFonts w:hint="eastAsia" w:ascii="仿宋" w:hAnsi="仿宋" w:eastAsia="仿宋" w:cs="仿宋"/>
          <w:b w:val="0"/>
          <w:bCs w:val="0"/>
          <w:color w:val="000000" w:themeColor="text1"/>
          <w:spacing w:val="0"/>
          <w:w w:val="100"/>
          <w:position w:val="0"/>
          <w:sz w:val="32"/>
          <w:szCs w:val="32"/>
          <w:lang w:val="en-US" w:eastAsia="en-US" w:bidi="en-US"/>
          <w14:textFill>
            <w14:solidFill>
              <w14:schemeClr w14:val="tx1"/>
            </w14:solidFill>
          </w14:textFill>
        </w:rPr>
        <w:t>--200</w:t>
      </w:r>
      <w:r>
        <w:rPr>
          <w:rFonts w:hint="eastAsia" w:ascii="仿宋" w:hAnsi="仿宋" w:eastAsia="仿宋" w:cs="仿宋"/>
          <w:b w:val="0"/>
          <w:bCs w:val="0"/>
          <w:color w:val="000000" w:themeColor="text1"/>
          <w:spacing w:val="0"/>
          <w:w w:val="100"/>
          <w:position w:val="0"/>
          <w:sz w:val="32"/>
          <w:szCs w:val="32"/>
          <w:lang w:val="en-US" w:eastAsia="zh-CN" w:bidi="en-US"/>
          <w14:textFill>
            <w14:solidFill>
              <w14:schemeClr w14:val="tx1"/>
            </w14:solidFill>
          </w14:textFill>
        </w:rPr>
        <w:t>5</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年12月31日出生，男、女分开录取成绩。</w:t>
      </w:r>
    </w:p>
    <w:p>
      <w:pPr>
        <w:pStyle w:val="8"/>
        <w:keepNext w:val="0"/>
        <w:keepLines w:val="0"/>
        <w:pageBreakBefore w:val="0"/>
        <w:widowControl w:val="0"/>
        <w:shd w:val="clear" w:color="auto" w:fill="auto"/>
        <w:tabs>
          <w:tab w:val="left" w:pos="911"/>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2．</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少年组：200</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6</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年1月1日</w:t>
      </w:r>
      <w:r>
        <w:rPr>
          <w:rFonts w:hint="eastAsia" w:ascii="仿宋" w:hAnsi="仿宋" w:eastAsia="仿宋" w:cs="仿宋"/>
          <w:b w:val="0"/>
          <w:bCs w:val="0"/>
          <w:color w:val="000000" w:themeColor="text1"/>
          <w:spacing w:val="0"/>
          <w:w w:val="100"/>
          <w:position w:val="0"/>
          <w:sz w:val="32"/>
          <w:szCs w:val="32"/>
          <w:lang w:val="en-US" w:eastAsia="en-US" w:bidi="en-US"/>
          <w14:textFill>
            <w14:solidFill>
              <w14:schemeClr w14:val="tx1"/>
            </w14:solidFill>
          </w14:textFill>
        </w:rPr>
        <w:t>--20</w:t>
      </w:r>
      <w:r>
        <w:rPr>
          <w:rFonts w:hint="eastAsia" w:ascii="仿宋" w:hAnsi="仿宋" w:eastAsia="仿宋" w:cs="仿宋"/>
          <w:b w:val="0"/>
          <w:bCs w:val="0"/>
          <w:color w:val="000000" w:themeColor="text1"/>
          <w:spacing w:val="0"/>
          <w:w w:val="100"/>
          <w:position w:val="0"/>
          <w:sz w:val="32"/>
          <w:szCs w:val="32"/>
          <w:lang w:val="en-US" w:eastAsia="zh-CN" w:bidi="en-US"/>
          <w14:textFill>
            <w14:solidFill>
              <w14:schemeClr w14:val="tx1"/>
            </w14:solidFill>
          </w14:textFill>
        </w:rPr>
        <w:t>10</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年12月31日出生，男、女分开录取成绩。</w:t>
      </w:r>
    </w:p>
    <w:p>
      <w:pPr>
        <w:pStyle w:val="8"/>
        <w:keepNext w:val="0"/>
        <w:keepLines w:val="0"/>
        <w:pageBreakBefore w:val="0"/>
        <w:widowControl w:val="0"/>
        <w:shd w:val="clear" w:color="auto" w:fill="auto"/>
        <w:tabs>
          <w:tab w:val="left" w:pos="911"/>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3．</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儿童组：20</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11</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年1月1日后出生，男、女分开录取成绩。</w:t>
      </w:r>
    </w:p>
    <w:p>
      <w:pPr>
        <w:pStyle w:val="8"/>
        <w:keepNext w:val="0"/>
        <w:keepLines w:val="0"/>
        <w:pageBreakBefore w:val="0"/>
        <w:widowControl w:val="0"/>
        <w:shd w:val="clear" w:color="auto" w:fill="auto"/>
        <w:tabs>
          <w:tab w:val="left" w:pos="1170"/>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7" w:name="bookmark18"/>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7"/>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二）</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表演项目组别：</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1</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家庭双人组：参赛家庭必须由祖孙三代中的一名成年人和一名12岁以下的成员组成，男女不限。</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8" w:name="bookmark19"/>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2</w:t>
      </w:r>
      <w:bookmarkEnd w:id="8"/>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行业组：各</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、预选赛中按照行业编目划分的比赛组别统称为行业组，例如教师组、医生组、协会组等。</w:t>
      </w:r>
    </w:p>
    <w:p>
      <w:pPr>
        <w:pStyle w:val="8"/>
        <w:keepNext w:val="0"/>
        <w:keepLines w:val="0"/>
        <w:pageBreakBefore w:val="0"/>
        <w:widowControl w:val="0"/>
        <w:numPr>
          <w:ilvl w:val="0"/>
          <w:numId w:val="1"/>
        </w:numPr>
        <w:shd w:val="clear" w:color="auto" w:fill="auto"/>
        <w:tabs>
          <w:tab w:val="left" w:pos="968"/>
        </w:tabs>
        <w:kinsoku/>
        <w:wordWrap/>
        <w:overflowPunct/>
        <w:topLinePunct w:val="0"/>
        <w:autoSpaceDE/>
        <w:autoSpaceDN/>
        <w:bidi w:val="0"/>
        <w:adjustRightInd w:val="0"/>
        <w:snapToGrid w:val="0"/>
        <w:spacing w:before="0" w:line="560" w:lineRule="exact"/>
        <w:ind w:left="0" w:leftChars="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参赛资格</w:t>
      </w:r>
    </w:p>
    <w:p>
      <w:pPr>
        <w:pStyle w:val="8"/>
        <w:keepNext w:val="0"/>
        <w:keepLines w:val="0"/>
        <w:pageBreakBefore w:val="0"/>
        <w:widowControl w:val="0"/>
        <w:shd w:val="clear" w:color="auto" w:fill="auto"/>
        <w:tabs>
          <w:tab w:val="left" w:pos="1218"/>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9" w:name="bookmark22"/>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9"/>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一）</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身体健康，适合参加本项运动，比赛报名时未获得国家级运动健将（象棋大师）及以上称号的象棋爱好者均可报名。</w:t>
      </w:r>
    </w:p>
    <w:p>
      <w:pPr>
        <w:pStyle w:val="8"/>
        <w:keepNext w:val="0"/>
        <w:keepLines w:val="0"/>
        <w:pageBreakBefore w:val="0"/>
        <w:widowControl w:val="0"/>
        <w:shd w:val="clear" w:color="auto" w:fill="auto"/>
        <w:tabs>
          <w:tab w:val="left" w:pos="1170"/>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0" w:name="bookmark23"/>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10"/>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二）</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报名参赛人员只能代表一个赛区参加本年度全国业余棋王赛总决赛。</w:t>
      </w:r>
    </w:p>
    <w:p>
      <w:pPr>
        <w:pStyle w:val="8"/>
        <w:keepNext w:val="0"/>
        <w:keepLines w:val="0"/>
        <w:pageBreakBefore w:val="0"/>
        <w:widowControl w:val="0"/>
        <w:numPr>
          <w:ilvl w:val="0"/>
          <w:numId w:val="1"/>
        </w:numPr>
        <w:shd w:val="clear" w:color="auto" w:fill="auto"/>
        <w:tabs>
          <w:tab w:val="left" w:pos="973"/>
        </w:tabs>
        <w:kinsoku/>
        <w:wordWrap/>
        <w:overflowPunct/>
        <w:topLinePunct w:val="0"/>
        <w:autoSpaceDE/>
        <w:autoSpaceDN/>
        <w:bidi w:val="0"/>
        <w:adjustRightInd w:val="0"/>
        <w:snapToGrid w:val="0"/>
        <w:spacing w:before="0" w:line="560" w:lineRule="exact"/>
        <w:ind w:left="0" w:leftChars="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竞赛办法</w:t>
      </w:r>
    </w:p>
    <w:p>
      <w:pPr>
        <w:pStyle w:val="8"/>
        <w:keepNext w:val="0"/>
        <w:keepLines w:val="0"/>
        <w:pageBreakBefore w:val="0"/>
        <w:widowControl w:val="0"/>
        <w:numPr>
          <w:ilvl w:val="0"/>
          <w:numId w:val="2"/>
        </w:numPr>
        <w:shd w:val="clear" w:color="auto" w:fill="auto"/>
        <w:tabs>
          <w:tab w:val="left" w:pos="1170"/>
        </w:tabs>
        <w:kinsoku/>
        <w:wordWrap/>
        <w:overflowPunct/>
        <w:topLinePunct w:val="0"/>
        <w:autoSpaceDE/>
        <w:autoSpaceDN/>
        <w:bidi w:val="0"/>
        <w:adjustRightInd w:val="0"/>
        <w:snapToGrid w:val="0"/>
        <w:spacing w:before="0" w:line="560" w:lineRule="exact"/>
        <w:ind w:left="0" w:leftChars="0" w:right="0" w:firstLine="42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执行中国象棋协会审定的最新《象棋竞赛规则（20</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20版</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p>
    <w:p>
      <w:pPr>
        <w:pStyle w:val="8"/>
        <w:keepNext w:val="0"/>
        <w:keepLines w:val="0"/>
        <w:pageBreakBefore w:val="0"/>
        <w:widowControl w:val="0"/>
        <w:numPr>
          <w:ilvl w:val="0"/>
          <w:numId w:val="2"/>
        </w:numPr>
        <w:shd w:val="clear" w:color="auto" w:fill="auto"/>
        <w:tabs>
          <w:tab w:val="left" w:pos="1170"/>
        </w:tabs>
        <w:kinsoku/>
        <w:wordWrap/>
        <w:overflowPunct/>
        <w:topLinePunct w:val="0"/>
        <w:autoSpaceDE/>
        <w:autoSpaceDN/>
        <w:bidi w:val="0"/>
        <w:adjustRightInd w:val="0"/>
        <w:snapToGrid w:val="0"/>
        <w:spacing w:before="0" w:line="560" w:lineRule="exact"/>
        <w:ind w:left="0" w:leftChars="0" w:right="0" w:firstLine="42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赛制</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1</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作为一个分赛区的承办单位均需举办一场</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决赛，并需要在</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5</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月15日前公布本赛区竞赛办法，明确参加全国总决赛的资格产生办法。</w:t>
      </w:r>
    </w:p>
    <w:p>
      <w:pPr>
        <w:pStyle w:val="8"/>
        <w:keepNext w:val="0"/>
        <w:keepLines w:val="0"/>
        <w:pageBreakBefore w:val="0"/>
        <w:widowControl w:val="0"/>
        <w:shd w:val="clear" w:color="auto" w:fill="auto"/>
        <w:tabs>
          <w:tab w:val="left" w:pos="911"/>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1" w:name="bookmark27"/>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2</w:t>
      </w:r>
      <w:bookmarkEnd w:id="11"/>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、预选赛赛制可采用积分编排制、循环制、淘汰制等，由赛区自行决定。比赛可选择执行《规则》中"象棋群体比赛简明规定”。</w:t>
      </w:r>
    </w:p>
    <w:p>
      <w:pPr>
        <w:pStyle w:val="8"/>
        <w:keepNext w:val="0"/>
        <w:keepLines w:val="0"/>
        <w:pageBreakBefore w:val="0"/>
        <w:widowControl w:val="0"/>
        <w:shd w:val="clear" w:color="auto" w:fill="auto"/>
        <w:tabs>
          <w:tab w:val="left" w:pos="911"/>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2" w:name="bookmark28"/>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3</w:t>
      </w:r>
      <w:bookmarkEnd w:id="12"/>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建议</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、预选赛总轮次不少于5轮，采用加秒制，每轮棋总用时不少于1小时。</w:t>
      </w:r>
    </w:p>
    <w:p>
      <w:pPr>
        <w:pStyle w:val="8"/>
        <w:keepNext w:val="0"/>
        <w:keepLines w:val="0"/>
        <w:pageBreakBefore w:val="0"/>
        <w:widowControl w:val="0"/>
        <w:shd w:val="clear" w:color="auto" w:fill="auto"/>
        <w:tabs>
          <w:tab w:val="left" w:pos="911"/>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3" w:name="bookmark29"/>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4</w:t>
      </w:r>
      <w:bookmarkEnd w:id="13"/>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组别设置：</w:t>
      </w:r>
    </w:p>
    <w:p>
      <w:pPr>
        <w:pStyle w:val="8"/>
        <w:keepNext w:val="0"/>
        <w:keepLines w:val="0"/>
        <w:pageBreakBefore w:val="0"/>
        <w:widowControl w:val="0"/>
        <w:shd w:val="clear" w:color="auto" w:fill="auto"/>
        <w:tabs>
          <w:tab w:val="left" w:pos="1131"/>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4" w:name="bookmark30"/>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14"/>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1）</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应参照全国总决赛所设比赛组别，同时可根据地方具体情况增设其他组别。例如:新人组，地方大师组，棋士组，幼儿组，双人组，企业组，小学生组，中学生组等，参赛人数计入总人数。</w:t>
      </w:r>
    </w:p>
    <w:p>
      <w:pPr>
        <w:pStyle w:val="8"/>
        <w:keepNext w:val="0"/>
        <w:keepLines w:val="0"/>
        <w:pageBreakBefore w:val="0"/>
        <w:widowControl w:val="0"/>
        <w:shd w:val="clear" w:color="auto" w:fill="auto"/>
        <w:tabs>
          <w:tab w:val="left" w:pos="1078"/>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pPr>
      <w:bookmarkStart w:id="15" w:name="bookmark31"/>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15"/>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2）</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应设定各预选赛晋级</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的晋级资格。</w:t>
      </w:r>
      <w:bookmarkStart w:id="16" w:name="bookmark32"/>
    </w:p>
    <w:p>
      <w:pPr>
        <w:pStyle w:val="8"/>
        <w:keepNext w:val="0"/>
        <w:keepLines w:val="0"/>
        <w:pageBreakBefore w:val="0"/>
        <w:widowControl w:val="0"/>
        <w:shd w:val="clear" w:color="auto" w:fill="auto"/>
        <w:tabs>
          <w:tab w:val="left" w:pos="1078"/>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16"/>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3）</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各赛区选送参加总决赛的选手应该符合总决赛组别参赛要求。</w:t>
      </w:r>
    </w:p>
    <w:p>
      <w:pPr>
        <w:pStyle w:val="8"/>
        <w:keepNext w:val="0"/>
        <w:keepLines w:val="0"/>
        <w:pageBreakBefore w:val="0"/>
        <w:widowControl w:val="0"/>
        <w:shd w:val="clear" w:color="auto" w:fill="auto"/>
        <w:tabs>
          <w:tab w:val="left" w:pos="1078"/>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7" w:name="bookmark33"/>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17"/>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4）</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只有参加过预选赛的人员才能参加</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p>
    <w:p>
      <w:pPr>
        <w:pStyle w:val="8"/>
        <w:keepNext w:val="0"/>
        <w:keepLines w:val="0"/>
        <w:pageBreakBefore w:val="0"/>
        <w:widowControl w:val="0"/>
        <w:shd w:val="clear" w:color="auto" w:fill="auto"/>
        <w:tabs>
          <w:tab w:val="left" w:pos="1078"/>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8" w:name="bookmark34"/>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w:t>
      </w:r>
      <w:bookmarkEnd w:id="18"/>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5）</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鼓励各赛区基于各自特点举办一站特色赛（预选赛）。</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19" w:name="bookmark35"/>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5</w:t>
      </w:r>
      <w:bookmarkEnd w:id="19"/>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参赛人数：预选赛每站参赛人数达到20人的</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计</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为有效站数。</w:t>
      </w:r>
    </w:p>
    <w:p>
      <w:pPr>
        <w:pStyle w:val="8"/>
        <w:keepNext w:val="0"/>
        <w:keepLines w:val="0"/>
        <w:pageBreakBefore w:val="0"/>
        <w:widowControl w:val="0"/>
        <w:numPr>
          <w:ilvl w:val="0"/>
          <w:numId w:val="2"/>
        </w:numPr>
        <w:shd w:val="clear" w:color="auto" w:fill="auto"/>
        <w:tabs>
          <w:tab w:val="left" w:pos="1170"/>
        </w:tabs>
        <w:kinsoku/>
        <w:wordWrap/>
        <w:overflowPunct/>
        <w:topLinePunct w:val="0"/>
        <w:autoSpaceDE/>
        <w:autoSpaceDN/>
        <w:bidi w:val="0"/>
        <w:adjustRightInd w:val="0"/>
        <w:snapToGrid w:val="0"/>
        <w:spacing w:before="0" w:line="560" w:lineRule="exact"/>
        <w:ind w:left="0" w:leftChars="0" w:right="0" w:firstLine="42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报名</w:t>
      </w:r>
    </w:p>
    <w:p>
      <w:pPr>
        <w:pStyle w:val="8"/>
        <w:keepNext w:val="0"/>
        <w:keepLines w:val="0"/>
        <w:pageBreakBefore w:val="0"/>
        <w:widowControl w:val="0"/>
        <w:shd w:val="clear" w:color="auto" w:fill="auto"/>
        <w:tabs>
          <w:tab w:val="left" w:pos="899"/>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20" w:name="bookmark38"/>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1</w:t>
      </w:r>
      <w:bookmarkEnd w:id="20"/>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由</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、预选赛承办单位负责赛事的报名工作。</w:t>
      </w:r>
    </w:p>
    <w:p>
      <w:pPr>
        <w:pStyle w:val="8"/>
        <w:keepNext w:val="0"/>
        <w:keepLines w:val="0"/>
        <w:pageBreakBefore w:val="0"/>
        <w:widowControl w:val="0"/>
        <w:shd w:val="clear" w:color="auto" w:fill="auto"/>
        <w:tabs>
          <w:tab w:val="left" w:pos="899"/>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21" w:name="bookmark39"/>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2</w:t>
      </w:r>
      <w:bookmarkEnd w:id="21"/>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预选赛、</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可根据当地实际情况收取参赛</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服</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务费，用于补贴竞赛不足部分。</w:t>
      </w:r>
    </w:p>
    <w:p>
      <w:pPr>
        <w:pStyle w:val="8"/>
        <w:keepNext w:val="0"/>
        <w:keepLines w:val="0"/>
        <w:pageBreakBefore w:val="0"/>
        <w:widowControl w:val="0"/>
        <w:shd w:val="clear" w:color="auto" w:fill="auto"/>
        <w:tabs>
          <w:tab w:val="left" w:pos="899"/>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bookmarkStart w:id="22" w:name="bookmark40"/>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3</w:t>
      </w:r>
      <w:bookmarkEnd w:id="22"/>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ab/>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所有报名参赛的运动员须使用中华人民共和国第二代居民身份证或户口本，赛前裁判员现场将进行查验。</w:t>
      </w:r>
    </w:p>
    <w:p>
      <w:pPr>
        <w:pStyle w:val="8"/>
        <w:keepNext w:val="0"/>
        <w:keepLines w:val="0"/>
        <w:pageBreakBefore w:val="0"/>
        <w:widowControl w:val="0"/>
        <w:numPr>
          <w:ilvl w:val="0"/>
          <w:numId w:val="2"/>
        </w:numPr>
        <w:shd w:val="clear" w:color="auto" w:fill="auto"/>
        <w:tabs>
          <w:tab w:val="left" w:pos="1170"/>
        </w:tabs>
        <w:kinsoku/>
        <w:wordWrap/>
        <w:overflowPunct/>
        <w:topLinePunct w:val="0"/>
        <w:autoSpaceDE/>
        <w:autoSpaceDN/>
        <w:bidi w:val="0"/>
        <w:adjustRightInd w:val="0"/>
        <w:snapToGrid w:val="0"/>
        <w:spacing w:before="0" w:line="560" w:lineRule="exact"/>
        <w:ind w:left="0" w:leftChars="0" w:right="0" w:firstLine="42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成绩统计</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每站比赛结束后，裁判长需按统一格式上传成绩表。</w:t>
      </w:r>
    </w:p>
    <w:p>
      <w:pPr>
        <w:pStyle w:val="8"/>
        <w:keepNext w:val="0"/>
        <w:keepLines w:val="0"/>
        <w:pageBreakBefore w:val="0"/>
        <w:widowControl w:val="0"/>
        <w:numPr>
          <w:ilvl w:val="0"/>
          <w:numId w:val="2"/>
        </w:numPr>
        <w:shd w:val="clear" w:color="auto" w:fill="auto"/>
        <w:tabs>
          <w:tab w:val="left" w:pos="1170"/>
        </w:tabs>
        <w:kinsoku/>
        <w:wordWrap/>
        <w:overflowPunct/>
        <w:topLinePunct w:val="0"/>
        <w:autoSpaceDE/>
        <w:autoSpaceDN/>
        <w:bidi w:val="0"/>
        <w:adjustRightInd w:val="0"/>
        <w:snapToGrid w:val="0"/>
        <w:spacing w:before="0" w:line="560" w:lineRule="exact"/>
        <w:ind w:left="0" w:leftChars="0" w:right="0" w:firstLine="42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总决赛参赛资格</w:t>
      </w:r>
    </w:p>
    <w:p>
      <w:pPr>
        <w:pStyle w:val="8"/>
        <w:keepNext w:val="0"/>
        <w:keepLines w:val="0"/>
        <w:pageBreakBefore w:val="0"/>
        <w:widowControl w:val="0"/>
        <w:numPr>
          <w:numId w:val="0"/>
        </w:numPr>
        <w:shd w:val="clear" w:color="auto" w:fill="auto"/>
        <w:tabs>
          <w:tab w:val="left" w:pos="899"/>
        </w:tabs>
        <w:kinsoku/>
        <w:wordWrap/>
        <w:overflowPunct/>
        <w:topLinePunct w:val="0"/>
        <w:autoSpaceDE/>
        <w:autoSpaceDN/>
        <w:bidi w:val="0"/>
        <w:adjustRightInd w:val="0"/>
        <w:snapToGrid w:val="0"/>
        <w:spacing w:before="0" w:line="560" w:lineRule="exact"/>
        <w:ind w:leftChars="200" w:right="0" w:right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　　１．省决赛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应在比赛规程中明确各组别晋级全国总决赛名额的产生办法，并于</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后选派优异棋手参加全国总决赛。</w:t>
      </w:r>
    </w:p>
    <w:p>
      <w:pPr>
        <w:pStyle w:val="8"/>
        <w:keepNext w:val="0"/>
        <w:keepLines w:val="0"/>
        <w:pageBreakBefore w:val="0"/>
        <w:widowControl w:val="0"/>
        <w:numPr>
          <w:numId w:val="0"/>
        </w:numPr>
        <w:shd w:val="clear" w:color="auto" w:fill="auto"/>
        <w:tabs>
          <w:tab w:val="left" w:pos="899"/>
        </w:tabs>
        <w:kinsoku/>
        <w:wordWrap/>
        <w:overflowPunct/>
        <w:topLinePunct w:val="0"/>
        <w:autoSpaceDE/>
        <w:autoSpaceDN/>
        <w:bidi w:val="0"/>
        <w:adjustRightInd w:val="0"/>
        <w:snapToGrid w:val="0"/>
        <w:spacing w:before="0" w:line="560" w:lineRule="exact"/>
        <w:ind w:leftChars="200" w:right="0" w:right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　　２．</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参与本项赛事活动的</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各</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省</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、自治区、直辖市</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、计划单列市、行业体协等承办单位，根据预选赛数量、参赛人数给予适当数量的晋级全国总决赛的名额。</w:t>
      </w:r>
    </w:p>
    <w:p>
      <w:pPr>
        <w:pStyle w:val="8"/>
        <w:keepNext w:val="0"/>
        <w:keepLines w:val="0"/>
        <w:pageBreakBefore w:val="0"/>
        <w:widowControl w:val="0"/>
        <w:numPr>
          <w:numId w:val="0"/>
        </w:numPr>
        <w:shd w:val="clear" w:color="auto" w:fill="auto"/>
        <w:tabs>
          <w:tab w:val="left" w:pos="899"/>
        </w:tabs>
        <w:kinsoku/>
        <w:wordWrap/>
        <w:overflowPunct/>
        <w:topLinePunct w:val="0"/>
        <w:autoSpaceDE/>
        <w:autoSpaceDN/>
        <w:bidi w:val="0"/>
        <w:adjustRightInd w:val="0"/>
        <w:snapToGrid w:val="0"/>
        <w:spacing w:before="0" w:line="560" w:lineRule="exact"/>
        <w:ind w:leftChars="200" w:right="0" w:right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　　３．</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承办预选赛的"全国象棋之乡”额外获得2个直通全国总决赛的名额，参加组别不限。承办预选赛的"全国象棋基地”、"全国象棋特色学校”额外获得1个少年组或儿童组选手直通全国总决赛的名额。</w:t>
      </w:r>
    </w:p>
    <w:p>
      <w:pPr>
        <w:pStyle w:val="8"/>
        <w:keepNext w:val="0"/>
        <w:keepLines w:val="0"/>
        <w:pageBreakBefore w:val="0"/>
        <w:widowControl w:val="0"/>
        <w:numPr>
          <w:numId w:val="0"/>
        </w:numPr>
        <w:shd w:val="clear" w:color="auto" w:fill="auto"/>
        <w:tabs>
          <w:tab w:val="left" w:pos="899"/>
        </w:tabs>
        <w:kinsoku/>
        <w:wordWrap/>
        <w:overflowPunct/>
        <w:topLinePunct w:val="0"/>
        <w:autoSpaceDE/>
        <w:autoSpaceDN/>
        <w:bidi w:val="0"/>
        <w:adjustRightInd w:val="0"/>
        <w:snapToGrid w:val="0"/>
        <w:spacing w:before="0" w:line="560" w:lineRule="exact"/>
        <w:ind w:leftChars="200" w:right="0" w:right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　　４．</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所属辖区承办4站以上县级预选赛的地级市象棋协会额外获得1个直通全国总决赛的名额，参赛组别不限。所属辖区承办4站以上乡级预选赛的县级市象棋协会额外获得1个直通全国总决赛的名额，参赛组别不限。</w:t>
      </w:r>
    </w:p>
    <w:p>
      <w:pPr>
        <w:pStyle w:val="8"/>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line="560" w:lineRule="exact"/>
        <w:ind w:left="0" w:leftChars="0" w:right="0" w:firstLine="42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奖励办法</w:t>
      </w:r>
    </w:p>
    <w:p>
      <w:pPr>
        <w:pStyle w:val="8"/>
        <w:keepNext w:val="0"/>
        <w:keepLines w:val="0"/>
        <w:pageBreakBefore w:val="0"/>
        <w:widowControl w:val="0"/>
        <w:numPr>
          <w:numId w:val="0"/>
        </w:numPr>
        <w:shd w:val="clear" w:color="auto" w:fill="auto"/>
        <w:tabs>
          <w:tab w:val="left" w:pos="848"/>
        </w:tabs>
        <w:kinsoku/>
        <w:wordWrap/>
        <w:overflowPunct/>
        <w:topLinePunct w:val="0"/>
        <w:autoSpaceDE/>
        <w:autoSpaceDN/>
        <w:bidi w:val="0"/>
        <w:adjustRightInd w:val="0"/>
        <w:snapToGrid w:val="0"/>
        <w:spacing w:before="0" w:line="560" w:lineRule="exact"/>
        <w:ind w:leftChars="200" w:right="0" w:rightChars="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default" w:ascii="仿宋" w:hAnsi="仿宋" w:eastAsia="仿宋" w:cs="仿宋"/>
          <w:b w:val="0"/>
          <w:bCs w:val="0"/>
          <w:color w:val="000000" w:themeColor="text1"/>
          <w:spacing w:val="0"/>
          <w:w w:val="100"/>
          <w:position w:val="0"/>
          <w:sz w:val="32"/>
          <w:szCs w:val="32"/>
          <w:lang w:val="en"/>
          <w14:textFill>
            <w14:solidFill>
              <w14:schemeClr w14:val="tx1"/>
            </w14:solidFill>
          </w14:textFill>
        </w:rPr>
        <w:t>1.</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所有预选赛、</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获得冠军的棋手将获得（地域名称+棋王）的棋王称号。棋王证书由中国象棋协会统一制作，根据秩序册人数和组别数量，发放至各赛区。具体申领流程另见执行手册。</w:t>
      </w:r>
    </w:p>
    <w:p>
      <w:pPr>
        <w:pStyle w:val="8"/>
        <w:keepNext w:val="0"/>
        <w:keepLines w:val="0"/>
        <w:pageBreakBefore w:val="0"/>
        <w:widowControl w:val="0"/>
        <w:numPr>
          <w:numId w:val="0"/>
        </w:numPr>
        <w:shd w:val="clear" w:color="auto" w:fill="auto"/>
        <w:tabs>
          <w:tab w:val="left" w:pos="867"/>
        </w:tabs>
        <w:kinsoku/>
        <w:wordWrap/>
        <w:overflowPunct/>
        <w:topLinePunct w:val="0"/>
        <w:autoSpaceDE/>
        <w:autoSpaceDN/>
        <w:bidi w:val="0"/>
        <w:adjustRightInd w:val="0"/>
        <w:snapToGrid w:val="0"/>
        <w:spacing w:before="0" w:line="560" w:lineRule="exact"/>
        <w:ind w:leftChars="200" w:right="0" w:rightChars="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default" w:ascii="仿宋" w:hAnsi="仿宋" w:eastAsia="仿宋" w:cs="仿宋"/>
          <w:b w:val="0"/>
          <w:bCs w:val="0"/>
          <w:color w:val="000000" w:themeColor="text1"/>
          <w:spacing w:val="0"/>
          <w:w w:val="100"/>
          <w:position w:val="0"/>
          <w:sz w:val="32"/>
          <w:szCs w:val="32"/>
          <w:lang w:val="en"/>
          <w14:textFill>
            <w14:solidFill>
              <w14:schemeClr w14:val="tx1"/>
            </w14:solidFill>
          </w14:textFill>
        </w:rPr>
        <w:t>2.</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可根据中国象棋协会技术等级标准申请相应技术等级，现场办证。</w:t>
      </w:r>
    </w:p>
    <w:p>
      <w:pPr>
        <w:pStyle w:val="8"/>
        <w:keepNext w:val="0"/>
        <w:keepLines w:val="0"/>
        <w:pageBreakBefore w:val="0"/>
        <w:widowControl w:val="0"/>
        <w:numPr>
          <w:numId w:val="0"/>
        </w:numPr>
        <w:shd w:val="clear" w:color="auto" w:fill="auto"/>
        <w:tabs>
          <w:tab w:val="left" w:pos="867"/>
        </w:tabs>
        <w:kinsoku/>
        <w:wordWrap/>
        <w:overflowPunct/>
        <w:topLinePunct w:val="0"/>
        <w:autoSpaceDE/>
        <w:autoSpaceDN/>
        <w:bidi w:val="0"/>
        <w:adjustRightInd w:val="0"/>
        <w:snapToGrid w:val="0"/>
        <w:spacing w:before="0" w:line="560" w:lineRule="exact"/>
        <w:ind w:leftChars="200" w:right="0" w:rightChars="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default" w:ascii="仿宋" w:hAnsi="仿宋" w:eastAsia="仿宋" w:cs="仿宋"/>
          <w:b w:val="0"/>
          <w:bCs w:val="0"/>
          <w:color w:val="000000" w:themeColor="text1"/>
          <w:spacing w:val="0"/>
          <w:w w:val="100"/>
          <w:position w:val="0"/>
          <w:sz w:val="32"/>
          <w:szCs w:val="32"/>
          <w:lang w:val="en" w:eastAsia="zh-CN"/>
          <w14:textFill>
            <w14:solidFill>
              <w14:schemeClr w14:val="tx1"/>
            </w14:solidFill>
          </w14:textFill>
        </w:rPr>
        <w:t>3.</w:t>
      </w:r>
      <w:r>
        <w:rPr>
          <w:rFonts w:hint="eastAsia" w:ascii="仿宋" w:hAnsi="仿宋" w:eastAsia="仿宋" w:cs="仿宋"/>
          <w:b w:val="0"/>
          <w:bCs w:val="0"/>
          <w:color w:val="000000" w:themeColor="text1"/>
          <w:spacing w:val="0"/>
          <w:w w:val="100"/>
          <w:position w:val="0"/>
          <w:sz w:val="32"/>
          <w:szCs w:val="32"/>
          <w:lang w:eastAsia="zh-CN"/>
          <w14:textFill>
            <w14:solidFill>
              <w14:schemeClr w14:val="tx1"/>
            </w14:solidFill>
          </w14:textFill>
        </w:rPr>
        <w:t>省决赛</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、预选赛可根据当地情况设置赛事奖金或奖品。</w:t>
      </w:r>
    </w:p>
    <w:p>
      <w:pPr>
        <w:pStyle w:val="8"/>
        <w:keepNext w:val="0"/>
        <w:keepLines w:val="0"/>
        <w:pageBreakBefore w:val="0"/>
        <w:widowControl w:val="0"/>
        <w:numPr>
          <w:numId w:val="0"/>
        </w:numPr>
        <w:shd w:val="clear" w:color="auto" w:fill="auto"/>
        <w:tabs>
          <w:tab w:val="left" w:pos="848"/>
        </w:tabs>
        <w:kinsoku/>
        <w:wordWrap/>
        <w:overflowPunct/>
        <w:topLinePunct w:val="0"/>
        <w:autoSpaceDE/>
        <w:autoSpaceDN/>
        <w:bidi w:val="0"/>
        <w:adjustRightInd w:val="0"/>
        <w:snapToGrid w:val="0"/>
        <w:spacing w:before="0" w:line="560" w:lineRule="exact"/>
        <w:ind w:leftChars="200" w:right="0" w:rightChars="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default" w:ascii="仿宋" w:hAnsi="仿宋" w:eastAsia="仿宋" w:cs="仿宋"/>
          <w:b w:val="0"/>
          <w:bCs w:val="0"/>
          <w:color w:val="000000" w:themeColor="text1"/>
          <w:spacing w:val="0"/>
          <w:w w:val="100"/>
          <w:position w:val="0"/>
          <w:sz w:val="32"/>
          <w:szCs w:val="32"/>
          <w:lang w:val="en"/>
          <w14:textFill>
            <w14:solidFill>
              <w14:schemeClr w14:val="tx1"/>
            </w14:solidFill>
          </w14:textFill>
        </w:rPr>
        <w:t>4.</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全国总决赛奖励办法另行设定，并设置最佳赛区、优秀赛区、优秀赛区工作者等团体和个人奖项。</w:t>
      </w:r>
    </w:p>
    <w:p>
      <w:pPr>
        <w:pStyle w:val="8"/>
        <w:keepNext w:val="0"/>
        <w:keepLines w:val="0"/>
        <w:pageBreakBefore w:val="0"/>
        <w:widowControl w:val="0"/>
        <w:numPr>
          <w:ilvl w:val="0"/>
          <w:numId w:val="1"/>
        </w:numPr>
        <w:shd w:val="clear" w:color="auto" w:fill="auto"/>
        <w:kinsoku/>
        <w:wordWrap/>
        <w:overflowPunct/>
        <w:topLinePunct w:val="0"/>
        <w:autoSpaceDE/>
        <w:autoSpaceDN/>
        <w:bidi w:val="0"/>
        <w:adjustRightInd w:val="0"/>
        <w:snapToGrid w:val="0"/>
        <w:spacing w:before="0" w:line="560" w:lineRule="exact"/>
        <w:ind w:left="0" w:leftChars="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本方案解释权属中国象棋协会</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pP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附加说明：</w:t>
      </w:r>
    </w:p>
    <w:p>
      <w:pPr>
        <w:pStyle w:val="8"/>
        <w:keepNext w:val="0"/>
        <w:keepLines w:val="0"/>
        <w:pageBreakBefore w:val="0"/>
        <w:widowControl w:val="0"/>
        <w:shd w:val="clear" w:color="auto" w:fill="auto"/>
        <w:tabs>
          <w:tab w:val="left" w:pos="843"/>
        </w:tabs>
        <w:kinsoku/>
        <w:wordWrap/>
        <w:overflowPunct/>
        <w:topLinePunct w:val="0"/>
        <w:autoSpaceDE/>
        <w:autoSpaceDN/>
        <w:bidi w:val="0"/>
        <w:adjustRightInd w:val="0"/>
        <w:snapToGrid w:val="0"/>
        <w:spacing w:before="0" w:line="560" w:lineRule="exact"/>
        <w:ind w:left="0" w:right="0"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中国象棋协会优先接受省棋牌中心、棋类协会（象棋协会）的申请，并由其统筹各省预选赛的组织。在省棋牌中心、棋类协会（象棋协会）无承办意愿的情况下，中国象棋协会可接受市（县）级体育部门、象棋协会的预选赛承办申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C0885"/>
    <w:multiLevelType w:val="singleLevel"/>
    <w:tmpl w:val="258C0885"/>
    <w:lvl w:ilvl="0" w:tentative="0">
      <w:start w:val="1"/>
      <w:numFmt w:val="chineseCounting"/>
      <w:suff w:val="nothing"/>
      <w:lvlText w:val="（%1）"/>
      <w:lvlJc w:val="left"/>
      <w:pPr>
        <w:ind w:left="0" w:firstLine="420"/>
      </w:pPr>
      <w:rPr>
        <w:rFonts w:hint="eastAsia"/>
      </w:rPr>
    </w:lvl>
  </w:abstractNum>
  <w:abstractNum w:abstractNumId="1">
    <w:nsid w:val="32D87159"/>
    <w:multiLevelType w:val="singleLevel"/>
    <w:tmpl w:val="32D87159"/>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86B70"/>
    <w:rsid w:val="005778BE"/>
    <w:rsid w:val="006A038C"/>
    <w:rsid w:val="007D4806"/>
    <w:rsid w:val="00E51789"/>
    <w:rsid w:val="01154FDD"/>
    <w:rsid w:val="02D6094C"/>
    <w:rsid w:val="031C5C60"/>
    <w:rsid w:val="060C73F8"/>
    <w:rsid w:val="06840641"/>
    <w:rsid w:val="099768EB"/>
    <w:rsid w:val="0BA270F3"/>
    <w:rsid w:val="0C193AB1"/>
    <w:rsid w:val="0CB86B70"/>
    <w:rsid w:val="10C55D8D"/>
    <w:rsid w:val="115E41E6"/>
    <w:rsid w:val="13CA3E07"/>
    <w:rsid w:val="171B6A08"/>
    <w:rsid w:val="17965314"/>
    <w:rsid w:val="1C9356C0"/>
    <w:rsid w:val="1D55267F"/>
    <w:rsid w:val="1EFC4C0E"/>
    <w:rsid w:val="211D2277"/>
    <w:rsid w:val="2512540E"/>
    <w:rsid w:val="26EB40DD"/>
    <w:rsid w:val="2B8A647C"/>
    <w:rsid w:val="31131109"/>
    <w:rsid w:val="323B57BC"/>
    <w:rsid w:val="38A60A2E"/>
    <w:rsid w:val="3ADD779E"/>
    <w:rsid w:val="3E9C4EA7"/>
    <w:rsid w:val="403C0BF2"/>
    <w:rsid w:val="42FA1041"/>
    <w:rsid w:val="434C28EE"/>
    <w:rsid w:val="44243053"/>
    <w:rsid w:val="44C1003E"/>
    <w:rsid w:val="46D20CB2"/>
    <w:rsid w:val="486E37EF"/>
    <w:rsid w:val="495D1C2D"/>
    <w:rsid w:val="4A65539B"/>
    <w:rsid w:val="4AB20041"/>
    <w:rsid w:val="4C812ED4"/>
    <w:rsid w:val="4C8B4157"/>
    <w:rsid w:val="4CB76E48"/>
    <w:rsid w:val="4ED40E4A"/>
    <w:rsid w:val="4FC77772"/>
    <w:rsid w:val="50117D69"/>
    <w:rsid w:val="50F46883"/>
    <w:rsid w:val="515803BC"/>
    <w:rsid w:val="59D1492B"/>
    <w:rsid w:val="5B3B6C27"/>
    <w:rsid w:val="5B84541D"/>
    <w:rsid w:val="5DBA51FB"/>
    <w:rsid w:val="5FD605FE"/>
    <w:rsid w:val="61596CFA"/>
    <w:rsid w:val="64E80B73"/>
    <w:rsid w:val="664107D0"/>
    <w:rsid w:val="68A659B6"/>
    <w:rsid w:val="6A90567A"/>
    <w:rsid w:val="6AEB7AC2"/>
    <w:rsid w:val="6CAB51F7"/>
    <w:rsid w:val="6D5502EE"/>
    <w:rsid w:val="6EDC35ED"/>
    <w:rsid w:val="7124462E"/>
    <w:rsid w:val="74710255"/>
    <w:rsid w:val="765A399B"/>
    <w:rsid w:val="785B35AF"/>
    <w:rsid w:val="791C3686"/>
    <w:rsid w:val="79B844EA"/>
    <w:rsid w:val="7ADB285E"/>
    <w:rsid w:val="7C2A1724"/>
    <w:rsid w:val="7DD134A1"/>
    <w:rsid w:val="7F1672DC"/>
    <w:rsid w:val="7FAE5224"/>
    <w:rsid w:val="BFBA2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Body text|1"/>
    <w:basedOn w:val="1"/>
    <w:qFormat/>
    <w:uiPriority w:val="0"/>
    <w:pPr>
      <w:widowControl w:val="0"/>
      <w:shd w:val="clear" w:color="auto" w:fill="auto"/>
      <w:spacing w:line="415" w:lineRule="auto"/>
      <w:ind w:firstLine="400"/>
    </w:pPr>
    <w:rPr>
      <w:rFonts w:ascii="宋体" w:hAnsi="宋体" w:eastAsia="宋体" w:cs="宋体"/>
      <w:color w:val="231F20"/>
      <w:sz w:val="20"/>
      <w:szCs w:val="20"/>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1017</Characters>
  <Lines>8</Lines>
  <Paragraphs>2</Paragraphs>
  <TotalTime>19</TotalTime>
  <ScaleCrop>false</ScaleCrop>
  <LinksUpToDate>false</LinksUpToDate>
  <CharactersWithSpaces>1193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2016-04-04T21:38:00Z</dcterms:created>
  <dc:creator>MarioChen</dc:creator>
  <cp:lastModifiedBy>zhangfan</cp:lastModifiedBy>
  <cp:lastPrinted>2022-02-22T13:46:00Z</cp:lastPrinted>
  <dcterms:modified xsi:type="dcterms:W3CDTF">2022-02-22T14:09:32Z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60DA168162E74EEE923296C0A9EC70FF</vt:lpwstr>
  </property>
</Properties>
</file>