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lear" w:pos="4153"/>
          <w:tab w:val="clear" w:pos="8306"/>
        </w:tabs>
        <w:ind w:left="0" w:leftChars="0" w:firstLine="0" w:firstLineChars="0"/>
        <w:rPr>
          <w:rFonts w:hint="eastAsia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附件</w:t>
      </w:r>
      <w:r>
        <w:rPr>
          <w:rFonts w:ascii="Times New Roman" w:hAnsi="Times New Roman" w:eastAsia="方正黑体_GBK"/>
          <w:sz w:val="32"/>
          <w:szCs w:val="32"/>
          <w:lang w:val="en-US" w:eastAsia="zh-CN"/>
        </w:rPr>
        <w:t>15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第一届全国全民健身大赛（西南区）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押加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/>
          <w:sz w:val="44"/>
          <w:szCs w:val="44"/>
        </w:rPr>
        <w:t>竞赛规程</w:t>
      </w:r>
    </w:p>
    <w:bookmarkEnd w:id="0"/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主办单位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国家体育总局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中华全国体育总会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承办单位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西藏自治区体育局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西藏自治区体育总会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三、竞赛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时间和地点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（一）比赛</w:t>
      </w:r>
      <w:r>
        <w:rPr>
          <w:rFonts w:hint="eastAsia" w:ascii="仿宋_GB2312" w:hAnsi="仿宋_GB2312" w:eastAsia="仿宋_GB2312"/>
          <w:sz w:val="32"/>
          <w:szCs w:val="32"/>
        </w:rPr>
        <w:t>时间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6月10日至15日。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  <w:t>（二）比赛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地点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西藏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体育馆（拉萨市城关区娘热路27号）。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竞赛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55公斤级（含55公斤，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上限不能超过1公斤，下限不能超过2公斤，下同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61公斤级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68公斤级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76公斤级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85公斤级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、参赛单位</w:t>
      </w:r>
    </w:p>
    <w:p>
      <w:pPr>
        <w:spacing w:line="560" w:lineRule="exact"/>
        <w:ind w:firstLine="57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四川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/>
          <w:sz w:val="32"/>
          <w:szCs w:val="32"/>
        </w:rPr>
        <w:t>、重庆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/>
          <w:sz w:val="32"/>
          <w:szCs w:val="32"/>
        </w:rPr>
        <w:t>、云南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/>
          <w:sz w:val="32"/>
          <w:szCs w:val="32"/>
        </w:rPr>
        <w:t>、贵州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西藏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自治区。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六、参赛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资格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及审查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参赛运动员须出具开赛前3个月以内</w:t>
      </w:r>
      <w:r>
        <w:rPr>
          <w:rFonts w:hint="eastAsia" w:ascii="仿宋_GB2312" w:hAnsi="仿宋_GB2312" w:eastAsia="仿宋_GB2312"/>
          <w:sz w:val="32"/>
          <w:szCs w:val="32"/>
        </w:rPr>
        <w:t>县级以上医院体检身体健康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证明（含心电图、血压、肺功能），</w:t>
      </w:r>
      <w:r>
        <w:rPr>
          <w:rFonts w:hint="eastAsia" w:ascii="仿宋_GB2312" w:hAnsi="仿宋_GB2312" w:eastAsia="仿宋_GB2312"/>
          <w:sz w:val="32"/>
          <w:szCs w:val="32"/>
        </w:rPr>
        <w:t>报到时出示人身意外伤害保险凭证（含往返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路途，保险理赔额度不低于30万</w:t>
      </w:r>
      <w:r>
        <w:rPr>
          <w:rFonts w:hint="eastAsia" w:ascii="仿宋_GB2312" w:hAnsi="仿宋_GB2312" w:eastAsia="仿宋_GB2312"/>
          <w:sz w:val="32"/>
          <w:szCs w:val="32"/>
        </w:rPr>
        <w:t>），须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/>
          <w:sz w:val="32"/>
          <w:szCs w:val="32"/>
        </w:rPr>
        <w:t>承诺本人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自愿且</w:t>
      </w:r>
      <w:r>
        <w:rPr>
          <w:rFonts w:hint="eastAsia" w:ascii="仿宋_GB2312" w:hAnsi="仿宋_GB2312" w:eastAsia="仿宋_GB2312"/>
          <w:sz w:val="32"/>
          <w:szCs w:val="32"/>
        </w:rPr>
        <w:t>适宜参加该项目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参赛责任书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年龄为19岁—45岁，1979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月1日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至2005年12月31日</w:t>
      </w:r>
      <w:r>
        <w:rPr>
          <w:rFonts w:hint="eastAsia" w:ascii="仿宋_GB2312" w:hAnsi="仿宋_GB2312" w:eastAsia="仿宋_GB2312"/>
          <w:sz w:val="32"/>
          <w:szCs w:val="32"/>
        </w:rPr>
        <w:t>期间出生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出生日期以身份证件为准。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每名运动员必须以同一身份、单位报名参加比赛，不得跨</w:t>
      </w:r>
      <w:r>
        <w:rPr>
          <w:rFonts w:hint="eastAsia" w:eastAsia="仿宋_GB2312"/>
          <w:sz w:val="32"/>
          <w:szCs w:val="32"/>
          <w:lang w:val="en-US" w:eastAsia="zh-CN"/>
        </w:rPr>
        <w:t>小项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，跨</w:t>
      </w:r>
      <w:r>
        <w:rPr>
          <w:rFonts w:hint="eastAsia" w:ascii="Times New Roman" w:hAnsi="Times New Roman" w:eastAsia="仿宋_GB2312"/>
          <w:sz w:val="32"/>
          <w:szCs w:val="32"/>
        </w:rPr>
        <w:t>组别参赛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/>
          <w:sz w:val="32"/>
          <w:szCs w:val="32"/>
        </w:rPr>
        <w:t>）运动员代表本人户籍所在地、长期居住地、本人就职单位（就职1年以上，从2024年3月1日前计算）或学籍所在地（以参赛时学籍为准）参赛。长期居住地以本人房产证、居住证或社保缴纳记录（满1年，从2024年3月1日前计算）为依据，就职单位以劳动合同、收入及纳税证明、社保证明等（满1年，从2024年3月1日前计算）为依据。一名运动员必须以同一身份报名，代表一支队伍参赛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驻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五省（区、市）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港澳台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的人员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，可持工作证明、学习签证、护照或其他有效证件，在符合单项竞赛规程规定的前提下，向组委会申请报名参赛。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援藏干部和西部计划志愿服务者可代表工作单位所在地报名参赛，以相关任职文件为依据。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）各参赛单位可通过自查、互查和举报等形式，对运动员参赛资格进行审核与监督。凡举报其他单位运动员代表资格的，须在公示有效期间实名举报，并提供相关证明，否则不予受理。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比赛期间运动员在参赛资格上经查证违反规定、弄虚作假的，取消全队参赛资格和比赛成绩，已完成的比赛结果不再改变，其被取消的名次依次递补。并取消体育道德风尚奖评选资格，根据国家体育总局赛风赛纪和反兴奋剂工作条例及相关规定，对相关责任人和单位进行处罚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符合《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</w:rPr>
        <w:t>第一届全国全民健身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</w:rPr>
        <w:t>（西南区）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  <w:lang w:val="en-US" w:eastAsia="zh-CN"/>
        </w:rPr>
        <w:t>竞赛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</w:rPr>
        <w:t>规程总则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》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其他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规定。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、参加办法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各组别限报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支</w:t>
      </w:r>
      <w:r>
        <w:rPr>
          <w:rFonts w:hint="eastAsia" w:ascii="仿宋_GB2312" w:hAnsi="仿宋_GB2312" w:eastAsia="仿宋_GB2312"/>
          <w:sz w:val="32"/>
          <w:szCs w:val="32"/>
        </w:rPr>
        <w:t>男队参加比赛。每队限报1名领队、1 名教练员、1 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/>
          <w:sz w:val="32"/>
          <w:szCs w:val="32"/>
        </w:rPr>
        <w:t>人员（均不得兼运动员）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各级别限报2名运动员。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项目承办省（区、市）可增报1支队伍。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竞赛办法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sz w:val="32"/>
          <w:szCs w:val="32"/>
        </w:rPr>
        <w:t>分两个阶段进行：第一阶段采用分组循环赛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制</w:t>
      </w:r>
      <w:r>
        <w:rPr>
          <w:rFonts w:ascii="仿宋_GB2312" w:hAnsi="仿宋_GB2312" w:eastAsia="仿宋_GB2312"/>
          <w:sz w:val="32"/>
          <w:szCs w:val="32"/>
        </w:rPr>
        <w:t>，第二阶段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采用单淘汰赛制决出名次，以上赛制均为</w:t>
      </w:r>
      <w:r>
        <w:rPr>
          <w:rFonts w:hint="eastAsia" w:ascii="仿宋_GB2312" w:hAnsi="仿宋_GB2312" w:eastAsia="仿宋_GB2312"/>
          <w:sz w:val="32"/>
          <w:szCs w:val="32"/>
        </w:rPr>
        <w:t>三局两胜制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sz w:val="32"/>
          <w:szCs w:val="32"/>
        </w:rPr>
        <w:t>参赛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人数</w:t>
      </w:r>
      <w:r>
        <w:rPr>
          <w:rFonts w:ascii="仿宋_GB2312" w:hAnsi="仿宋_GB2312" w:eastAsia="仿宋_GB2312"/>
          <w:sz w:val="32"/>
          <w:szCs w:val="32"/>
        </w:rPr>
        <w:t>不足8人时，采用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单</w:t>
      </w:r>
      <w:r>
        <w:rPr>
          <w:rFonts w:ascii="仿宋_GB2312" w:hAnsi="仿宋_GB2312" w:eastAsia="仿宋_GB2312"/>
          <w:sz w:val="32"/>
          <w:szCs w:val="32"/>
        </w:rPr>
        <w:t>循环赛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制</w:t>
      </w:r>
      <w:r>
        <w:rPr>
          <w:rFonts w:ascii="仿宋_GB2312" w:hAnsi="仿宋_GB2312" w:eastAsia="仿宋_GB2312"/>
          <w:sz w:val="32"/>
          <w:szCs w:val="32"/>
        </w:rPr>
        <w:t>决出名次。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sz w:val="32"/>
          <w:szCs w:val="32"/>
        </w:rPr>
        <w:t>执行国家体育总局、国家民委20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审定</w:t>
      </w:r>
      <w:r>
        <w:rPr>
          <w:rFonts w:ascii="仿宋_GB2312" w:hAnsi="仿宋_GB2312" w:eastAsia="仿宋_GB2312"/>
          <w:sz w:val="32"/>
          <w:szCs w:val="32"/>
        </w:rPr>
        <w:t>的《押加竞赛规则》。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sz w:val="32"/>
          <w:szCs w:val="32"/>
        </w:rPr>
        <w:t>运动员比赛时必须穿着运动服。押加带、比赛用鞋由大会统一提供，品牌和型号另行通知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九、称量体重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称量体重应在比赛前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一天</w:t>
      </w:r>
      <w:r>
        <w:rPr>
          <w:rFonts w:hint="eastAsia" w:ascii="仿宋_GB2312" w:hAnsi="仿宋_GB2312" w:eastAsia="仿宋_GB2312"/>
          <w:sz w:val="32"/>
          <w:szCs w:val="32"/>
        </w:rPr>
        <w:t>进行，本次运动会比赛只称量一次体重，称量体重应在2个小时内完成，过时以弃权论。称量体重先由体重轻的级别开始，每人称量一次。如称量后运动员体重超过原属级别，并在规定称量时间（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小时）内复称达不到报名参赛级别要求，将被取消该级别比赛资格。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十、录取名次和奖励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总规程规定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执行。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设第一届全国全民健身大赛（西南区）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集体体育道德风尚奖、优秀组织奖</w:t>
      </w:r>
      <w:r>
        <w:rPr>
          <w:rFonts w:hint="eastAsia" w:ascii="Calibri" w:hAnsi="Calibri" w:eastAsia="仿宋_GB2312"/>
          <w:sz w:val="32"/>
          <w:szCs w:val="32"/>
        </w:rPr>
        <w:t>（评选办法另定）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技术官员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技术官员（仲裁、裁判长及裁判员）</w:t>
      </w:r>
      <w:r>
        <w:rPr>
          <w:rFonts w:hint="eastAsia" w:ascii="仿宋_GB2312" w:hAnsi="仿宋_GB2312" w:eastAsia="仿宋_GB2312"/>
          <w:sz w:val="32"/>
          <w:szCs w:val="32"/>
        </w:rPr>
        <w:t>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主办单位选派，不足部分由承办单位按要求选聘。报到时间和地点另行通知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、经费</w:t>
      </w:r>
    </w:p>
    <w:p>
      <w:pPr>
        <w:widowControl/>
        <w:spacing w:line="560" w:lineRule="exact"/>
        <w:ind w:firstLine="640" w:firstLineChars="200"/>
        <w:rPr>
          <w:rFonts w:hint="eastAsia" w:ascii="Calibri" w:hAnsi="Calibri" w:eastAsia="仿宋_GB2312"/>
          <w:sz w:val="32"/>
          <w:szCs w:val="32"/>
          <w:lang w:eastAsia="zh-CN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（一）差旅：各参赛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单位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差旅费自理。</w:t>
      </w:r>
    </w:p>
    <w:p>
      <w:pPr>
        <w:widowControl/>
        <w:spacing w:line="560" w:lineRule="exact"/>
        <w:ind w:firstLine="640" w:firstLineChars="200"/>
        <w:rPr>
          <w:rFonts w:hint="eastAsia" w:ascii="Calibri" w:hAnsi="Calibri" w:eastAsia="仿宋_GB2312"/>
          <w:sz w:val="32"/>
          <w:szCs w:val="32"/>
          <w:lang w:eastAsia="zh-CN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（二）食宿和赛区交通：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各参赛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食宿和赛区交通由大会统一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协调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安排，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费用自理。根据当地实际，住宿费600元/单间（1人住）、530元/标间（2人住），伙食费120元/人，供参赛省、市代表队参考。实际费用由大赛组委会协商相关入住酒店再另行通知，实际结算以协商确认后的标准结算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十三、报名和报到</w:t>
      </w:r>
    </w:p>
    <w:p>
      <w:pPr>
        <w:spacing w:line="560" w:lineRule="exact"/>
        <w:ind w:firstLine="640" w:firstLineChars="200"/>
        <w:jc w:val="left"/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eastAsia="zh-CN" w:bidi="ar"/>
        </w:rPr>
        <w:t>（一）</w:t>
      </w:r>
      <w:r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val="en-US" w:eastAsia="zh-CN" w:bidi="ar"/>
        </w:rPr>
        <w:t>报名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  <w:t>各省（区、市）代表队于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2024年5月10日18：00前，统一将报名表、所有参赛人员须提供近期2寸蓝底免冠电子版照片（照片下方注明姓名、职位、项目、代表省市，格式为JPG或JPEG），参赛责任书（加盖省、市体育局公章）（含电子版和盖章扫描版）报西藏自治区体育局群众体育处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报名截止后原则上不允许更改所有参赛人员信息,如因不可抗力因素确需更换相关人员信息，须于开赛前10天报请大赛组委会审核并提供相关作证材料（加盖公章），经过大赛组委会审定确认后方可更改，否则不予受理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val="en-US" w:eastAsia="zh-CN" w:bidi="ar"/>
        </w:rPr>
        <w:t>报到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  <w:t>各省（区、市）代表队于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2024年6月10日22：00前到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highlight w:val="red"/>
          <w:lang w:val="en-US" w:eastAsia="zh-CN" w:bidi="ar"/>
        </w:rPr>
        <w:t>拉萨市</w:t>
      </w:r>
      <w:r>
        <w:rPr>
          <w:rFonts w:hint="eastAsia" w:ascii="汉仪细圆B5" w:hAnsi="汉仪细圆B5" w:eastAsia="汉仪细圆B5"/>
          <w:color w:val="000000"/>
          <w:kern w:val="0"/>
          <w:sz w:val="32"/>
          <w:szCs w:val="32"/>
          <w:highlight w:val="red"/>
          <w:lang w:val="en-US" w:eastAsia="zh-CN" w:bidi="ar"/>
        </w:rPr>
        <w:t>××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highlight w:val="red"/>
          <w:lang w:val="en-US" w:eastAsia="zh-CN" w:bidi="ar"/>
        </w:rPr>
        <w:t>酒店大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赛报到处报到，并提交报名表原件、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人身意外伤害保险凭证（含赛事期间及往返</w:t>
      </w:r>
      <w:r>
        <w:rPr>
          <w:rFonts w:hint="eastAsia" w:ascii="Times New Roman" w:hAnsi="Times New Roman" w:eastAsia="仿宋_GB2312"/>
          <w:kern w:val="2"/>
          <w:sz w:val="32"/>
          <w:lang w:val="en-US" w:eastAsia="zh-CN" w:bidi="ar-SA"/>
        </w:rPr>
        <w:t>路途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第二代身份证原件或户口本原件</w:t>
      </w:r>
      <w:r>
        <w:rPr>
          <w:rFonts w:hint="eastAsia" w:ascii="Times New Roman" w:hAnsi="Times New Roman" w:eastAsia="仿宋_GB2312"/>
          <w:kern w:val="2"/>
          <w:sz w:val="32"/>
          <w:lang w:val="en-US" w:eastAsia="zh-CN" w:bidi="ar-SA"/>
        </w:rPr>
        <w:t>、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县级以上人民医院体检证明</w:t>
      </w:r>
      <w:r>
        <w:rPr>
          <w:rFonts w:hint="eastAsia" w:ascii="Times New Roman" w:hAnsi="Times New Roman" w:eastAsia="仿宋_GB2312"/>
          <w:kern w:val="2"/>
          <w:sz w:val="32"/>
          <w:lang w:val="en-US" w:eastAsia="zh-CN" w:bidi="ar-SA"/>
        </w:rPr>
        <w:t>、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自愿参赛责任书</w:t>
      </w:r>
      <w:r>
        <w:rPr>
          <w:rFonts w:hint="eastAsia" w:ascii="Times New Roman" w:hAnsi="Times New Roman" w:eastAsia="仿宋_GB2312"/>
          <w:kern w:val="2"/>
          <w:sz w:val="32"/>
          <w:lang w:val="en-US" w:eastAsia="zh-CN" w:bidi="ar-SA"/>
        </w:rPr>
        <w:t>原件、</w:t>
      </w:r>
      <w:r>
        <w:rPr>
          <w:rFonts w:ascii="Times New Roman" w:hAnsi="Times New Roman" w:eastAsia="仿宋_GB2312"/>
          <w:sz w:val="32"/>
          <w:szCs w:val="20"/>
        </w:rPr>
        <w:t>运动员资格证明相关材料等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联系人：索朗顿珠、赵化智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联系电话：0891-6326781，13638998848、18989918965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邮箱地址：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xzqtc@sina.com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十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方正黑体_GBK"/>
          <w:color w:val="000000"/>
          <w:sz w:val="32"/>
          <w:szCs w:val="32"/>
        </w:rPr>
        <w:t xml:space="preserve">、赛风赛纪和安全工作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仿宋_GB2312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color w:val="000000"/>
          <w:spacing w:val="2"/>
          <w:kern w:val="0"/>
          <w:sz w:val="32"/>
          <w:szCs w:val="32"/>
          <w:lang w:val="en-US" w:eastAsia="zh-CN" w:bidi="ar-SA"/>
        </w:rPr>
        <w:t>（一）严格落实体育总局、公安部《关于加强体育赛场行为规范管理的若干意见》（体规字〔2021〕2 号）、《第一届全国全民健身大赛赛风赛纪管理规定》等要求，凡在比赛中无故弃权、停赛罢赛、打架斗殴、徇私舞弊、弄虚作假等违反体育道德和赛风赛纪者，将依法依规严肃追究相关责任人员责任。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ascii="Times New Roman" w:hAnsi="Times New Roman" w:eastAsia="仿宋_GB2312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color w:val="000000"/>
          <w:spacing w:val="2"/>
          <w:kern w:val="0"/>
          <w:sz w:val="32"/>
          <w:szCs w:val="32"/>
          <w:lang w:val="en-US" w:eastAsia="zh-CN" w:bidi="ar-SA"/>
        </w:rPr>
        <w:t>（二）按照国家体育总局《体育赛事活动管理办法》、四川省体育局《四川省体育赛事活动管理实施细则（试行）》等文件要求，承办单位结合实际，完善赛事活动组织工作方案、赛事活动安全防控工作方案、赛事活动医疗保障救治工作方案、赛事活动应急处置工作预案，建立赛事活动“熔断”机制，并对赛事活动组织风险评估，确保比赛安全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ascii="Times New Roman" w:hAnsi="Times New Roman" w:eastAsia="仿宋_GB2312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color w:val="000000"/>
          <w:spacing w:val="2"/>
          <w:kern w:val="0"/>
          <w:sz w:val="32"/>
          <w:szCs w:val="32"/>
          <w:lang w:val="en-US" w:eastAsia="zh-CN" w:bidi="ar-SA"/>
        </w:rPr>
        <w:t>（三）各参赛队须加强内部管理，严格纪律，实行领队责任制，落实领队教练员负责制。并对参赛运动员进行安全知识、赛风赛纪的宣传教育，并及时了解参赛运动员的身体状况，增强参赛运动员的安全意识和自我保护意识，杜绝任何违规违纪行为和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十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方正黑体_GBK"/>
          <w:color w:val="000000"/>
          <w:sz w:val="32"/>
          <w:szCs w:val="32"/>
        </w:rPr>
        <w:t>、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本赛事活动规程由第一届全国全民健身大赛（西南区）</w:t>
      </w:r>
      <w:r>
        <w:rPr>
          <w:rFonts w:hint="eastAsia" w:ascii="Times New Roman" w:hAnsi="Times New Roman" w:eastAsia="方正黑体_GBK"/>
          <w:bCs/>
          <w:color w:val="000000"/>
          <w:sz w:val="32"/>
          <w:szCs w:val="32"/>
          <w:lang w:eastAsia="zh-CN"/>
        </w:rPr>
        <w:t>押加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竞赛委员会负责解释。未尽事宜</w:t>
      </w:r>
      <w:r>
        <w:rPr>
          <w:rFonts w:ascii="Times New Roman" w:hAnsi="Times New Roman" w:eastAsia="方正黑体_GBK"/>
          <w:bCs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另行通知。</w:t>
      </w:r>
    </w:p>
    <w:p>
      <w:pPr>
        <w:pStyle w:val="4"/>
        <w:tabs>
          <w:tab w:val="clear" w:pos="4153"/>
          <w:tab w:val="clear" w:pos="8306"/>
        </w:tabs>
        <w:rPr>
          <w:rFonts w:ascii="Times New Roman" w:hAnsi="Times New Roman" w:eastAsia="方正黑体_GBK"/>
          <w:bCs/>
          <w:color w:val="000000"/>
          <w:sz w:val="32"/>
          <w:szCs w:val="32"/>
        </w:rPr>
      </w:pPr>
    </w:p>
    <w:p>
      <w:pPr>
        <w:pStyle w:val="4"/>
        <w:tabs>
          <w:tab w:val="clear" w:pos="4153"/>
          <w:tab w:val="clear" w:pos="8306"/>
        </w:tabs>
        <w:rPr>
          <w:rFonts w:hint="eastAsia" w:ascii="Times New Roman" w:hAnsi="Times New Roman" w:eastAsia="方正黑体_GBK"/>
          <w:bCs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  <w:t>第一届全国全民健身大赛（西南区）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  <w:t>押加项目报名表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both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省（市）代表队：（公章）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领    队：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教 练 员：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工作人员：                      联系方式：</w:t>
      </w:r>
    </w:p>
    <w:tbl>
      <w:tblPr>
        <w:tblStyle w:val="5"/>
        <w:tblW w:w="10069" w:type="dxa"/>
        <w:tblInd w:w="-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75"/>
        <w:gridCol w:w="855"/>
        <w:gridCol w:w="3536"/>
        <w:gridCol w:w="884"/>
        <w:gridCol w:w="1307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级别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85公斤级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880" w:firstLineChars="900"/>
        <w:jc w:val="both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     填表日期：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both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tabs>
          <w:tab w:val="clear" w:pos="4153"/>
          <w:tab w:val="clear" w:pos="8306"/>
        </w:tabs>
        <w:ind w:left="0" w:leftChars="0" w:firstLine="0" w:firstLineChars="0"/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7"/>
        <w:spacing w:line="240" w:lineRule="auto"/>
        <w:jc w:val="center"/>
        <w:rPr>
          <w:rFonts w:hint="eastAsia" w:ascii="方正小标宋简体" w:hAnsi="方正小标宋简体" w:eastAsia="方正小标宋简体"/>
          <w:b w:val="0"/>
          <w:bCs/>
          <w:spacing w:val="20"/>
        </w:rPr>
      </w:pPr>
      <w:r>
        <w:rPr>
          <w:rFonts w:hint="eastAsia" w:ascii="方正小标宋简体" w:hAnsi="方正小标宋简体" w:eastAsia="方正小标宋简体"/>
          <w:b w:val="0"/>
          <w:bCs/>
          <w:spacing w:val="20"/>
        </w:rPr>
        <w:t>自愿参赛责任书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我自愿报名参加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第一届全国全民健身大赛押加项目比</w:t>
      </w:r>
      <w:r>
        <w:rPr>
          <w:rFonts w:hint="eastAsia" w:ascii="仿宋_GB2312" w:hAnsi="仿宋_GB2312" w:eastAsia="仿宋_GB2312"/>
          <w:sz w:val="32"/>
          <w:szCs w:val="40"/>
        </w:rPr>
        <w:t>赛</w:t>
      </w:r>
      <w:r>
        <w:rPr>
          <w:rFonts w:hint="eastAsia" w:ascii="仿宋_GB2312" w:hAnsi="仿宋_GB2312" w:eastAsia="仿宋_GB2312"/>
          <w:sz w:val="32"/>
          <w:szCs w:val="32"/>
        </w:rPr>
        <w:t>，并签署本责任书。对以下内容，我已认真阅读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/>
          <w:sz w:val="32"/>
          <w:szCs w:val="32"/>
        </w:rPr>
        <w:t>全面理解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且予以确认并承担相应的法律责任，本人签署此责任书纯属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/>
          <w:sz w:val="32"/>
          <w:szCs w:val="32"/>
        </w:rPr>
        <w:t>自愿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1.我完全了解自己的身体状况，确认自己的健康状况良好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适合在西藏高原地区运动和比赛</w:t>
      </w:r>
      <w:r>
        <w:rPr>
          <w:rFonts w:hint="eastAsia" w:ascii="仿宋_GB2312" w:hAnsi="仿宋_GB2312" w:eastAsia="仿宋_GB2312"/>
          <w:sz w:val="32"/>
          <w:szCs w:val="32"/>
        </w:rPr>
        <w:t>；没有任何身体不适或疾病（包括先天性心脏病、风湿性心脏病、高血压、脑血管疾病、心肌炎、其他心脏病、冠状动脉病、严重心律不齐、血糖过高或过低的糖尿病，以及其它不适合相关运动的疾病），因此我郑重声明，可以正常参加第一届全国全民健身大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押加项目</w:t>
      </w:r>
      <w:r>
        <w:rPr>
          <w:rFonts w:hint="eastAsia" w:ascii="仿宋_GB2312" w:hAnsi="仿宋_GB2312" w:eastAsia="仿宋_GB2312"/>
          <w:sz w:val="32"/>
          <w:szCs w:val="32"/>
        </w:rPr>
        <w:t>比赛（以下简称比赛）。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2.我充分了解比赛期间有潜在的风险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和高原反应</w:t>
      </w:r>
      <w:r>
        <w:rPr>
          <w:rFonts w:hint="eastAsia" w:ascii="仿宋_GB2312" w:hAnsi="仿宋_GB2312" w:eastAsia="仿宋_GB2312"/>
          <w:sz w:val="32"/>
          <w:szCs w:val="32"/>
        </w:rPr>
        <w:t>，以及可能由此而导致的受伤或事故，我会竭尽所能，以对自己安全负责任的态度参赛。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3.我本人愿意遵守比赛的所有规则和规定；如果本人在比赛过程中发现或注意到任何风险和潜在风险，本人将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立刻</w:t>
      </w:r>
      <w:r>
        <w:rPr>
          <w:rFonts w:hint="eastAsia" w:ascii="仿宋_GB2312" w:hAnsi="仿宋_GB2312" w:eastAsia="仿宋_GB2312"/>
          <w:sz w:val="32"/>
          <w:szCs w:val="32"/>
        </w:rPr>
        <w:t>终止比赛。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4.我本人以及我的继承人、代理人、个人代表或亲属将放弃追究所有非组委会过失导致的伤残、损失或死亡的权利。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5.我本人同意接受组委会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和竞委会</w:t>
      </w:r>
      <w:r>
        <w:rPr>
          <w:rFonts w:hint="eastAsia" w:ascii="仿宋_GB2312" w:hAnsi="仿宋_GB2312" w:eastAsia="仿宋_GB2312"/>
          <w:sz w:val="32"/>
          <w:szCs w:val="32"/>
        </w:rPr>
        <w:t>在比赛期间提供的现场急救和送医治疗，急救和治疗发生的相关费用由本人负担。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6.我本人遵守反兴奋剂法律法规，自觉接受兴奋剂检查，绝不购买、携带、使用违禁药品和营养品。 </w:t>
      </w:r>
    </w:p>
    <w:p>
      <w:pPr>
        <w:pStyle w:val="8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我</w:t>
      </w:r>
      <w:r>
        <w:rPr>
          <w:rFonts w:hint="eastAsia"/>
          <w:lang w:val="en-US" w:eastAsia="zh-CN"/>
        </w:rPr>
        <w:t>本人</w:t>
      </w:r>
      <w:r>
        <w:rPr>
          <w:rFonts w:hint="eastAsia"/>
        </w:rPr>
        <w:t>将做到严格遵守本项目竞委会有关竞赛的各项规定；遵守大</w:t>
      </w:r>
      <w:r>
        <w:rPr>
          <w:rFonts w:hint="eastAsia"/>
          <w:lang w:val="en-US" w:eastAsia="zh-CN"/>
        </w:rPr>
        <w:t>赛</w:t>
      </w:r>
      <w:r>
        <w:rPr>
          <w:rFonts w:hint="eastAsia"/>
        </w:rPr>
        <w:t xml:space="preserve">的各项规章制度和纪律要求；遵守竞赛规程、竞赛规则；自觉维护竞赛的严肃性和权威性；服从安排，听从指挥，文明参赛，公平竞争。 </w:t>
      </w:r>
    </w:p>
    <w:p>
      <w:pPr>
        <w:pStyle w:val="8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8.</w:t>
      </w:r>
      <w:r>
        <w:rPr>
          <w:rFonts w:hint="eastAsia"/>
        </w:rPr>
        <w:t>我</w:t>
      </w:r>
      <w:r>
        <w:rPr>
          <w:rFonts w:hint="eastAsia"/>
          <w:lang w:val="en-US" w:eastAsia="zh-CN"/>
        </w:rPr>
        <w:t>本人</w:t>
      </w:r>
      <w:r>
        <w:rPr>
          <w:rFonts w:hint="eastAsia"/>
        </w:rPr>
        <w:t>将树立正确的参赛观，做到尊重对手、尊重裁判、尊重观众，绝不滋事闹事、扰乱赛场秩序，干扰裁判员正常执裁，绝不无故弃权、罢赛或拒绝领奖，绝不出现故意损坏比赛器材等行为。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签名，请用楷体签身份证上的姓名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运动员</w:t>
      </w:r>
      <w:r>
        <w:rPr>
          <w:rFonts w:hint="eastAsia" w:ascii="仿宋_GB2312" w:hAnsi="仿宋_GB2312" w:eastAsia="仿宋_GB2312"/>
          <w:sz w:val="32"/>
          <w:szCs w:val="32"/>
        </w:rPr>
        <w:t>签名：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运动队名称（盖章）：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领队签名：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/>
          <w:sz w:val="32"/>
          <w:szCs w:val="32"/>
        </w:rPr>
        <w:t>2024年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3" w:firstLineChars="200"/>
        <w:rPr>
          <w:rFonts w:ascii="仿宋_GB2312" w:hAnsi="仿宋_GB2312" w:eastAsia="仿宋_GB2312"/>
          <w:b/>
          <w:bCs/>
          <w:sz w:val="32"/>
          <w:szCs w:val="32"/>
        </w:rPr>
      </w:pPr>
    </w:p>
    <w:p>
      <w:pPr>
        <w:pStyle w:val="4"/>
        <w:tabs>
          <w:tab w:val="clear" w:pos="4153"/>
          <w:tab w:val="clear" w:pos="8306"/>
        </w:tabs>
        <w:ind w:left="0" w:leftChars="0" w:firstLine="0" w:firstLineChars="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2"/>
          <w:szCs w:val="32"/>
        </w:rPr>
        <w:t>备注：</w:t>
      </w:r>
      <w:r>
        <w:rPr>
          <w:rFonts w:ascii="仿宋_GB2312" w:hAnsi="仿宋_GB2312" w:eastAsia="仿宋_GB2312"/>
          <w:sz w:val="32"/>
          <w:szCs w:val="32"/>
        </w:rPr>
        <w:t>本《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自愿参赛责任</w:t>
      </w:r>
      <w:r>
        <w:rPr>
          <w:rFonts w:ascii="仿宋_GB2312" w:hAnsi="仿宋_GB2312" w:eastAsia="仿宋_GB2312"/>
          <w:sz w:val="32"/>
          <w:szCs w:val="32"/>
        </w:rPr>
        <w:t>书》为每名运动员单独 1 份，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须</w:t>
      </w:r>
      <w:r>
        <w:rPr>
          <w:rFonts w:ascii="仿宋_GB2312" w:hAnsi="仿宋_GB2312" w:eastAsia="仿宋_GB2312"/>
          <w:sz w:val="32"/>
          <w:szCs w:val="32"/>
        </w:rPr>
        <w:t>由运动员本人签字，然后由领队签字，加盖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运动队</w:t>
      </w:r>
      <w:r>
        <w:rPr>
          <w:rFonts w:ascii="仿宋_GB2312" w:hAnsi="仿宋_GB2312" w:eastAsia="仿宋_GB2312"/>
          <w:sz w:val="32"/>
          <w:szCs w:val="32"/>
        </w:rPr>
        <w:t>公章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属地体育局代章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sz w:val="32"/>
          <w:szCs w:val="32"/>
        </w:rPr>
        <w:t>，最后将所有参赛运动员的《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自愿参赛责任</w:t>
      </w:r>
      <w:r>
        <w:rPr>
          <w:rFonts w:ascii="仿宋_GB2312" w:hAnsi="仿宋_GB2312" w:eastAsia="仿宋_GB2312"/>
          <w:sz w:val="32"/>
          <w:szCs w:val="32"/>
        </w:rPr>
        <w:t>书》一起装订成册，并在报到时上交。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BAF40"/>
    <w:multiLevelType w:val="singleLevel"/>
    <w:tmpl w:val="D77BAF4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2E1YTg0YTg0YWVlYmQ1NjU3OTg0MjIwODQ2MGEifQ=="/>
  </w:docVars>
  <w:rsids>
    <w:rsidRoot w:val="33193413"/>
    <w:rsid w:val="331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1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table" w:customStyle="1" w:styleId="5">
    <w:name w:val="网格型1"/>
    <w:basedOn w:val="6"/>
    <w:autoRedefine/>
    <w:qFormat/>
    <w:uiPriority w:val="0"/>
    <w:pPr>
      <w:widowControl w:val="0"/>
      <w:jc w:val="both"/>
    </w:pPr>
  </w:style>
  <w:style w:type="table" w:customStyle="1" w:styleId="6">
    <w:name w:val="普通表格11"/>
    <w:semiHidden/>
    <w:uiPriority w:val="0"/>
  </w:style>
  <w:style w:type="paragraph" w:customStyle="1" w:styleId="7">
    <w:name w:val="标题 11"/>
    <w:uiPriority w:val="0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color w:val="000000"/>
      <w:kern w:val="44"/>
      <w:sz w:val="44"/>
      <w:szCs w:val="24"/>
      <w:lang w:val="en-US" w:eastAsia="zh-CN" w:bidi="ar-SA"/>
    </w:rPr>
  </w:style>
  <w:style w:type="paragraph" w:customStyle="1" w:styleId="8">
    <w:name w:val="正文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2024-04-23T01:46:00Z</dcterms:created>
  <dc:creator>song</dc:creator>
  <cp:lastModifiedBy>song</cp:lastModifiedBy>
  <dcterms:modified xsi:type="dcterms:W3CDTF">2024-04-23T01:46:29Z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C131C4CD7FF94198B0F0B5E7816D0F2C_11</vt:lpwstr>
  </property>
</Properties>
</file>