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Calibri"/>
          <w:b/>
          <w:sz w:val="36"/>
          <w:szCs w:val="32"/>
        </w:rPr>
      </w:pPr>
      <w:r>
        <w:rPr>
          <w:rFonts w:hint="eastAsia" w:ascii="宋体" w:hAnsi="宋体" w:cs="Calibri"/>
          <w:b/>
          <w:sz w:val="36"/>
          <w:szCs w:val="32"/>
        </w:rPr>
        <w:t>第一届全国学生（青年）运动会（公开组）</w:t>
      </w:r>
    </w:p>
    <w:p>
      <w:pPr>
        <w:spacing w:line="276" w:lineRule="auto"/>
        <w:jc w:val="center"/>
        <w:rPr>
          <w:rFonts w:ascii="宋体" w:hAnsi="宋体" w:cs="Calibri"/>
          <w:b/>
          <w:sz w:val="36"/>
          <w:szCs w:val="32"/>
        </w:rPr>
      </w:pPr>
      <w:r>
        <w:rPr>
          <w:rFonts w:hint="eastAsia" w:ascii="宋体" w:hAnsi="宋体" w:cs="Calibri"/>
          <w:b/>
          <w:sz w:val="36"/>
          <w:szCs w:val="32"/>
        </w:rPr>
        <w:t>棒球项目竞赛规程</w:t>
      </w:r>
      <w:bookmarkStart w:id="1" w:name="_GoBack"/>
      <w:bookmarkEnd w:id="1"/>
    </w:p>
    <w:p>
      <w:pPr>
        <w:adjustRightInd w:val="0"/>
        <w:snapToGrid w:val="0"/>
        <w:spacing w:line="360" w:lineRule="auto"/>
        <w:jc w:val="center"/>
        <w:rPr>
          <w:rFonts w:ascii="仿宋" w:hAnsi="仿宋" w:eastAsia="仿宋"/>
          <w:sz w:val="32"/>
          <w:szCs w:val="32"/>
        </w:rPr>
      </w:pP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一、竞赛时间和地点</w:t>
      </w:r>
    </w:p>
    <w:p>
      <w:pPr>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预赛：9月5-13日，辽宁大连</w:t>
      </w:r>
    </w:p>
    <w:p>
      <w:pPr>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决赛：时间待定，广西桂林</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二、竞赛项目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按照《第一届全国学生（青年）运动会（公开组）小项和年龄设置方案》相关规定执行。</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三、参加单位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以上单位有资格报名参加比赛。</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四、运动员资格</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（二）运动员年龄按照《第一届全国学生（青年）运动会（公开组）小项和年龄设置方案》执行。</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（三）香港、澳门参赛运动员应为香港、澳门特别行政区居民中的中国公民或香港、澳门特别行政区的永久性居民，运动员资格由香港、澳门参赛代表团依照规定审定。</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四）报名截止后将在中国棒球协会官方网站对运动队和运动员名单进行公示，公示期间对运动员代表资格有异议的，请书面反馈（加盖公章）至中国棒球协会。公示期间未提出异议的，视为各单位对运动员代表资格无意见。</w:t>
      </w:r>
    </w:p>
    <w:p>
      <w:pPr>
        <w:pStyle w:val="10"/>
        <w:spacing w:line="360" w:lineRule="auto"/>
        <w:ind w:firstLine="643"/>
        <w:rPr>
          <w:rFonts w:ascii="仿宋" w:hAnsi="仿宋" w:eastAsia="仿宋" w:cs="仿宋"/>
          <w:b/>
          <w:sz w:val="32"/>
          <w:szCs w:val="32"/>
        </w:rPr>
      </w:pPr>
      <w:r>
        <w:rPr>
          <w:rFonts w:hint="eastAsia" w:ascii="仿宋" w:hAnsi="仿宋" w:eastAsia="仿宋" w:cs="仿宋"/>
          <w:b/>
          <w:sz w:val="32"/>
          <w:szCs w:val="32"/>
        </w:rPr>
        <w:t>五、参加办法</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（一）每队可报领队1人，教练员3人（包括主教练），医生1人，运动员20人。</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（二）各队通过预赛获得决赛资格，广西可选派1个所属城市直接参加决赛，共8支队伍进入决赛。此外，香港特别行政区可不参加预赛，直接参加决赛，不占用以上规定的录取名额。</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（三）凡已报名参加比赛的队伍，未经体育总局书面同意，不得无故退出比赛。</w:t>
      </w:r>
    </w:p>
    <w:p>
      <w:pPr>
        <w:pStyle w:val="10"/>
        <w:spacing w:line="360" w:lineRule="auto"/>
        <w:ind w:firstLine="643"/>
        <w:rPr>
          <w:rFonts w:ascii="仿宋" w:hAnsi="仿宋" w:eastAsia="仿宋" w:cs="仿宋"/>
          <w:b/>
          <w:sz w:val="32"/>
          <w:szCs w:val="32"/>
        </w:rPr>
      </w:pPr>
      <w:r>
        <w:rPr>
          <w:rFonts w:hint="eastAsia" w:ascii="仿宋" w:hAnsi="仿宋" w:eastAsia="仿宋" w:cs="仿宋"/>
          <w:b/>
          <w:sz w:val="32"/>
          <w:szCs w:val="32"/>
        </w:rPr>
        <w:t>六、竞赛办法</w:t>
      </w:r>
    </w:p>
    <w:p>
      <w:pPr>
        <w:spacing w:line="360" w:lineRule="auto"/>
        <w:ind w:firstLine="640" w:firstLineChars="200"/>
        <w:rPr>
          <w:rFonts w:ascii="仿宋" w:hAnsi="仿宋" w:eastAsia="仿宋" w:cs="仿宋"/>
          <w:b/>
          <w:sz w:val="32"/>
          <w:szCs w:val="32"/>
        </w:rPr>
      </w:pPr>
      <w:r>
        <w:rPr>
          <w:rFonts w:hint="eastAsia" w:ascii="仿宋" w:hAnsi="仿宋" w:eastAsia="仿宋" w:cs="仿宋"/>
          <w:sz w:val="32"/>
          <w:szCs w:val="32"/>
        </w:rPr>
        <w:t>（一）预赛赛制</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1.参赛队伍不超过7个队时，取消预赛，队伍直接参加决赛。</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2.参赛队伍超过7个队时，分组进行单循环比赛，决出小组名次，</w:t>
      </w:r>
      <w:bookmarkStart w:id="0" w:name="_Hlk129175132"/>
      <w:r>
        <w:rPr>
          <w:rFonts w:hint="eastAsia" w:ascii="仿宋" w:hAnsi="仿宋" w:eastAsia="仿宋" w:cs="仿宋"/>
          <w:sz w:val="32"/>
          <w:szCs w:val="32"/>
        </w:rPr>
        <w:t>小组间进行交叉淘汰赛确定最终名次。</w:t>
      </w:r>
      <w:bookmarkEnd w:id="0"/>
      <w:r>
        <w:rPr>
          <w:rFonts w:hint="eastAsia" w:ascii="仿宋" w:hAnsi="仿宋" w:eastAsia="仿宋" w:cs="仿宋"/>
          <w:sz w:val="32"/>
          <w:szCs w:val="32"/>
        </w:rPr>
        <w:t>获得预赛前7名的队伍参加决赛。</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分组方法：报名结束后，线上抽签决定分组。7＜队伍数≤12时，分为A、B两组，单循环比赛结束后，名列小组前2名队伍进行交叉淘汰赛决出1-4名；名列小组3、4名的队伍进行交叉淘汰赛决出5-8名；名列小组5、6名的队伍进行交叉淘汰赛决出9-12名。12＜队伍数时，分为A、B、C、D四组，单循环比赛结束后，名列小组前2名的队伍进行交叉淘汰赛决出1-8名；名列小组3、4名的队伍进行交叉淘汰赛决出9-16名；名列小组5、6名的队伍进行交叉淘汰赛决出17-24名。A组和D组、B组和C组先进行交叉比赛。</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（二）决赛赛制</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1.7支队时，进行单循环比赛，循环赛排名1、2的队伍争夺冠军，排名3、4的队伍争夺第三名，排名5、6的队伍争夺第五名，排名第7的队伍获得第七名。</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2. 8支队时，根据预赛成绩，获得第1、2名；3、4名；5、6名；7、8（广西所属城市）名每相邻名次的队进行抽签分别进入A组或B组，编号A1-A4,B1-B4，进行单循环比赛，决出小组名次，名列小组前2名的队伍进行交叉淘汰赛决出1-4名；名列小组3、4名的队伍进行交叉淘汰赛决出5-8名。</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3.9支队时，获批准直接参加决赛的香港单独抽签进入A组或B组，编号A5或B5。其他队伍根据预赛成绩，获得第1、2名；3、4名；5、6名；7、8（广西所属城市）名每相邻名次的队进行抽签分别进入A组或B组，编号A1-A4,B1-B4。进行单循环比赛，决出小组名次，名列小组前2名的队伍进行交叉淘汰赛决出1-4名；名列小组3、4名的队伍进行交叉淘汰赛决出5-8名，小组名次排在第5名的队伍获得总排名第9名。</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（三）特殊情况处理</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比赛开始前，如遇突发情况或赛期限制等原因，组委会有权对竞赛办法进行修订。比赛过程中，如遇天气或其它特殊情况，不能按原计划进行比赛，组委会有权对比赛时间和办法做出决定。</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（四）单循环比赛排名方法</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1.胜一场得2分，负一场得0分，积分多者名次列前。</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2.如遇积分相等，按下列规定决定名次：</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①同积分队伍间比赛，胜场多者名次列前。</w:t>
      </w:r>
    </w:p>
    <w:p>
      <w:pPr>
        <w:pStyle w:val="10"/>
        <w:spacing w:line="360" w:lineRule="auto"/>
        <w:ind w:firstLine="640"/>
        <w:rPr>
          <w:rFonts w:ascii="仿宋" w:hAnsi="仿宋" w:eastAsia="仿宋" w:cs="仿宋"/>
          <w:sz w:val="32"/>
          <w:szCs w:val="32"/>
        </w:rPr>
      </w:pPr>
      <w:r>
        <w:rPr>
          <w:rFonts w:hint="eastAsia" w:ascii="仿宋" w:hAnsi="仿宋" w:eastAsia="仿宋" w:cs="仿宋"/>
          <w:sz w:val="32"/>
          <w:szCs w:val="32"/>
        </w:rPr>
        <w:t>②同积分队伍间比赛，优质平均数（TQB）较高者名次列前（如有优质平均数相同，则在优质平均数相同的队伍间比较胜负关系）。</w:t>
      </w:r>
    </w:p>
    <w:p>
      <w:pPr>
        <w:adjustRightInd w:val="0"/>
        <w:snapToGrid w:val="0"/>
        <w:spacing w:line="360" w:lineRule="auto"/>
        <w:ind w:firstLine="640" w:firstLineChars="200"/>
        <w:rPr>
          <w:rFonts w:ascii="仿宋" w:hAnsi="仿宋" w:eastAsia="仿宋" w:cs="仿宋"/>
          <w:sz w:val="32"/>
          <w:szCs w:val="32"/>
        </w:rPr>
      </w:pPr>
      <m:oMathPara>
        <m:oMath>
          <m:r>
            <m:rPr>
              <m:sty m:val="p"/>
            </m:rPr>
            <w:rPr>
              <w:rFonts w:hint="eastAsia" w:ascii="Cambria Math" w:hAnsi="Cambria Math" w:eastAsia="仿宋" w:cs="仿宋"/>
              <w:sz w:val="32"/>
              <w:szCs w:val="32"/>
            </w:rPr>
            <m:t>优质平均数（TQB）=得分率</m:t>
          </m:r>
          <m:d>
            <m:dPr>
              <m:begChr m:val="（"/>
              <m:endChr m:val="）"/>
              <m:ctrlPr>
                <w:rPr>
                  <w:rFonts w:hint="eastAsia" w:ascii="Cambria Math" w:hAnsi="Cambria Math" w:eastAsia="仿宋" w:cs="仿宋"/>
                  <w:sz w:val="32"/>
                  <w:szCs w:val="32"/>
                </w:rPr>
              </m:ctrlPr>
            </m:dPr>
            <m:e>
              <m:f>
                <m:fPr>
                  <m:ctrlPr>
                    <w:rPr>
                      <w:rFonts w:hint="eastAsia" w:ascii="Cambria Math" w:hAnsi="Cambria Math" w:eastAsia="仿宋" w:cs="仿宋"/>
                      <w:sz w:val="32"/>
                      <w:szCs w:val="32"/>
                    </w:rPr>
                  </m:ctrlPr>
                </m:fPr>
                <m:num>
                  <m:r>
                    <m:rPr>
                      <m:sty m:val="p"/>
                    </m:rPr>
                    <w:rPr>
                      <w:rFonts w:hint="eastAsia" w:ascii="Cambria Math" w:hAnsi="Cambria Math" w:eastAsia="仿宋" w:cs="仿宋"/>
                      <w:sz w:val="32"/>
                      <w:szCs w:val="32"/>
                    </w:rPr>
                    <m:t>总得分</m:t>
                  </m:r>
                  <m:ctrlPr>
                    <w:rPr>
                      <w:rFonts w:hint="eastAsia" w:ascii="Cambria Math" w:hAnsi="Cambria Math" w:eastAsia="仿宋" w:cs="仿宋"/>
                      <w:sz w:val="32"/>
                      <w:szCs w:val="32"/>
                    </w:rPr>
                  </m:ctrlPr>
                </m:num>
                <m:den>
                  <m:r>
                    <m:rPr>
                      <m:sty m:val="p"/>
                    </m:rPr>
                    <w:rPr>
                      <w:rFonts w:hint="eastAsia" w:ascii="Cambria Math" w:hAnsi="Cambria Math" w:eastAsia="仿宋" w:cs="仿宋"/>
                      <w:sz w:val="32"/>
                      <w:szCs w:val="32"/>
                    </w:rPr>
                    <m:t>进攻局数</m:t>
                  </m:r>
                  <m:ctrlPr>
                    <w:rPr>
                      <w:rFonts w:hint="eastAsia" w:ascii="Cambria Math" w:hAnsi="Cambria Math" w:eastAsia="仿宋" w:cs="仿宋"/>
                      <w:sz w:val="32"/>
                      <w:szCs w:val="32"/>
                    </w:rPr>
                  </m:ctrlPr>
                </m:den>
              </m:f>
              <m:ctrlPr>
                <w:rPr>
                  <w:rFonts w:hint="eastAsia" w:ascii="Cambria Math" w:hAnsi="Cambria Math" w:eastAsia="仿宋" w:cs="仿宋"/>
                  <w:sz w:val="32"/>
                  <w:szCs w:val="32"/>
                </w:rPr>
              </m:ctrlPr>
            </m:e>
          </m:d>
          <m:r>
            <m:rPr>
              <m:sty m:val="p"/>
            </m:rPr>
            <w:rPr>
              <w:rFonts w:hint="eastAsia" w:ascii="Cambria Math" w:hAnsi="Cambria Math" w:eastAsia="仿宋" w:cs="仿宋"/>
              <w:sz w:val="32"/>
              <w:szCs w:val="32"/>
            </w:rPr>
            <m:t>−失分率</m:t>
          </m:r>
          <m:d>
            <m:dPr>
              <m:begChr m:val="（"/>
              <m:endChr m:val="）"/>
              <m:ctrlPr>
                <w:rPr>
                  <w:rFonts w:hint="eastAsia" w:ascii="Cambria Math" w:hAnsi="Cambria Math" w:eastAsia="仿宋" w:cs="仿宋"/>
                  <w:sz w:val="32"/>
                  <w:szCs w:val="32"/>
                </w:rPr>
              </m:ctrlPr>
            </m:dPr>
            <m:e>
              <m:f>
                <m:fPr>
                  <m:ctrlPr>
                    <w:rPr>
                      <w:rFonts w:hint="eastAsia" w:ascii="Cambria Math" w:hAnsi="Cambria Math" w:eastAsia="仿宋" w:cs="仿宋"/>
                      <w:sz w:val="32"/>
                      <w:szCs w:val="32"/>
                    </w:rPr>
                  </m:ctrlPr>
                </m:fPr>
                <m:num>
                  <m:r>
                    <m:rPr>
                      <m:sty m:val="p"/>
                    </m:rPr>
                    <w:rPr>
                      <w:rFonts w:hint="eastAsia" w:ascii="Cambria Math" w:hAnsi="Cambria Math" w:eastAsia="仿宋" w:cs="仿宋"/>
                      <w:sz w:val="32"/>
                      <w:szCs w:val="32"/>
                    </w:rPr>
                    <m:t>总失分</m:t>
                  </m:r>
                  <m:ctrlPr>
                    <w:rPr>
                      <w:rFonts w:hint="eastAsia" w:ascii="Cambria Math" w:hAnsi="Cambria Math" w:eastAsia="仿宋" w:cs="仿宋"/>
                      <w:sz w:val="32"/>
                      <w:szCs w:val="32"/>
                    </w:rPr>
                  </m:ctrlPr>
                </m:num>
                <m:den>
                  <m:r>
                    <m:rPr>
                      <m:sty m:val="p"/>
                    </m:rPr>
                    <w:rPr>
                      <w:rFonts w:hint="eastAsia" w:ascii="Cambria Math" w:hAnsi="Cambria Math" w:eastAsia="仿宋" w:cs="仿宋"/>
                      <w:sz w:val="32"/>
                      <w:szCs w:val="32"/>
                    </w:rPr>
                    <m:t>防守局数</m:t>
                  </m:r>
                  <m:ctrlPr>
                    <w:rPr>
                      <w:rFonts w:hint="eastAsia" w:ascii="Cambria Math" w:hAnsi="Cambria Math" w:eastAsia="仿宋" w:cs="仿宋"/>
                      <w:sz w:val="32"/>
                      <w:szCs w:val="32"/>
                    </w:rPr>
                  </m:ctrlPr>
                </m:den>
              </m:f>
              <m:ctrlPr>
                <w:rPr>
                  <w:rFonts w:hint="eastAsia" w:ascii="Cambria Math" w:hAnsi="Cambria Math" w:eastAsia="仿宋" w:cs="仿宋"/>
                  <w:sz w:val="32"/>
                  <w:szCs w:val="32"/>
                </w:rPr>
              </m:ctrlPr>
            </m:e>
          </m:d>
        </m:oMath>
      </m:oMathPara>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③同积分队伍间比赛，责任失分平均数（ER-TQB）较高者名次列前。</w:t>
      </w:r>
    </w:p>
    <w:p>
      <w:pPr>
        <w:adjustRightInd w:val="0"/>
        <w:snapToGrid w:val="0"/>
        <w:spacing w:line="360" w:lineRule="auto"/>
        <w:ind w:firstLine="640" w:firstLineChars="200"/>
        <w:rPr>
          <w:rFonts w:ascii="仿宋" w:hAnsi="仿宋" w:eastAsia="仿宋" w:cs="仿宋"/>
          <w:sz w:val="32"/>
          <w:szCs w:val="32"/>
        </w:rPr>
      </w:pPr>
      <m:oMathPara>
        <m:oMath>
          <m:r>
            <m:rPr>
              <m:sty m:val="p"/>
            </m:rPr>
            <w:rPr>
              <w:rFonts w:hint="eastAsia" w:ascii="Cambria Math" w:hAnsi="Cambria Math" w:eastAsia="仿宋" w:cs="仿宋"/>
              <w:sz w:val="32"/>
              <w:szCs w:val="32"/>
            </w:rPr>
            <m:t>责任失分平均数=</m:t>
          </m:r>
          <m:f>
            <m:fPr>
              <m:ctrlPr>
                <w:rPr>
                  <w:rFonts w:hint="eastAsia" w:ascii="Cambria Math" w:hAnsi="Cambria Math" w:eastAsia="仿宋" w:cs="仿宋"/>
                  <w:sz w:val="32"/>
                  <w:szCs w:val="32"/>
                </w:rPr>
              </m:ctrlPr>
            </m:fPr>
            <m:num>
              <m:r>
                <m:rPr>
                  <m:sty m:val="p"/>
                </m:rPr>
                <w:rPr>
                  <w:rFonts w:hint="eastAsia" w:ascii="Cambria Math" w:hAnsi="Cambria Math" w:eastAsia="仿宋" w:cs="仿宋"/>
                  <w:sz w:val="32"/>
                  <w:szCs w:val="32"/>
                </w:rPr>
                <m:t>责任失分的得分</m:t>
              </m:r>
              <m:ctrlPr>
                <w:rPr>
                  <w:rFonts w:hint="eastAsia" w:ascii="Cambria Math" w:hAnsi="Cambria Math" w:eastAsia="仿宋" w:cs="仿宋"/>
                  <w:sz w:val="32"/>
                  <w:szCs w:val="32"/>
                </w:rPr>
              </m:ctrlPr>
            </m:num>
            <m:den>
              <m:r>
                <m:rPr>
                  <m:sty m:val="p"/>
                </m:rPr>
                <w:rPr>
                  <w:rFonts w:hint="eastAsia" w:ascii="Cambria Math" w:hAnsi="Cambria Math" w:eastAsia="仿宋" w:cs="仿宋"/>
                  <w:sz w:val="32"/>
                  <w:szCs w:val="32"/>
                </w:rPr>
                <m:t>进攻局数</m:t>
              </m:r>
              <m:ctrlPr>
                <w:rPr>
                  <w:rFonts w:hint="eastAsia" w:ascii="Cambria Math" w:hAnsi="Cambria Math" w:eastAsia="仿宋" w:cs="仿宋"/>
                  <w:sz w:val="32"/>
                  <w:szCs w:val="32"/>
                </w:rPr>
              </m:ctrlPr>
            </m:den>
          </m:f>
          <m:r>
            <m:rPr>
              <m:sty m:val="p"/>
            </m:rPr>
            <w:rPr>
              <w:rFonts w:hint="eastAsia" w:ascii="Cambria Math" w:hAnsi="Cambria Math" w:eastAsia="仿宋" w:cs="仿宋"/>
              <w:sz w:val="32"/>
              <w:szCs w:val="32"/>
            </w:rPr>
            <m:t>−</m:t>
          </m:r>
          <m:f>
            <m:fPr>
              <m:ctrlPr>
                <w:rPr>
                  <w:rFonts w:hint="eastAsia" w:ascii="Cambria Math" w:hAnsi="Cambria Math" w:eastAsia="仿宋" w:cs="仿宋"/>
                  <w:sz w:val="32"/>
                  <w:szCs w:val="32"/>
                </w:rPr>
              </m:ctrlPr>
            </m:fPr>
            <m:num>
              <m:r>
                <m:rPr>
                  <m:sty m:val="p"/>
                </m:rPr>
                <w:rPr>
                  <w:rFonts w:hint="eastAsia" w:ascii="Cambria Math" w:hAnsi="Cambria Math" w:eastAsia="仿宋" w:cs="仿宋"/>
                  <w:sz w:val="32"/>
                  <w:szCs w:val="32"/>
                </w:rPr>
                <m:t>责任失分的失分</m:t>
              </m:r>
              <m:ctrlPr>
                <w:rPr>
                  <w:rFonts w:hint="eastAsia" w:ascii="Cambria Math" w:hAnsi="Cambria Math" w:eastAsia="仿宋" w:cs="仿宋"/>
                  <w:sz w:val="32"/>
                  <w:szCs w:val="32"/>
                </w:rPr>
              </m:ctrlPr>
            </m:num>
            <m:den>
              <m:r>
                <m:rPr>
                  <m:sty m:val="p"/>
                </m:rPr>
                <w:rPr>
                  <w:rFonts w:hint="eastAsia" w:ascii="Cambria Math" w:hAnsi="Cambria Math" w:eastAsia="仿宋" w:cs="仿宋"/>
                  <w:sz w:val="32"/>
                  <w:szCs w:val="32"/>
                </w:rPr>
                <m:t>防守局数</m:t>
              </m:r>
              <m:ctrlPr>
                <w:rPr>
                  <w:rFonts w:hint="eastAsia" w:ascii="Cambria Math" w:hAnsi="Cambria Math" w:eastAsia="仿宋" w:cs="仿宋"/>
                  <w:sz w:val="32"/>
                  <w:szCs w:val="32"/>
                </w:rPr>
              </m:ctrlPr>
            </m:den>
          </m:f>
        </m:oMath>
      </m:oMathPara>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④同积分队伍间比赛，安打率较高者名次列前。</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⑤掷硬币。</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（五）竞赛编排</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1.详细竞赛编排由中国棒球协会确定。除非组委会有紧急情况，原则上不得调整赛程安排。</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2.单循环赛制中，如遇奇数队时采用“1”不动补“0”的办法，按逆时针旋转的原则编排；如遇偶数队时采用“1”不动逆时针旋转的原则编排。</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3.如同省（市）队分在同一小组，相互间比赛应安排在首轮进行。</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（六）竞赛规则</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1.采用中国棒球协会审定的2022年版《棒球竞赛规则》。</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2.每场比赛为七局，如打成平局，继续比赛，在第八局时，一垒和二垒放跑垒员，直至分出胜负。</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3.双方比分相差10分及以上时，五局可结束比赛；双方比分相差15分及以上时，四局可结束比赛；相差20分及以上时，三局可结束比赛。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4.参赛队应于比赛前60分钟提交上场队员名单。</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5.裁判员宣布交换攻守后，双方队员要迅速完成交换，于1分钟内各就各位，准备比赛。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6.关于指导投手详见规则，执行DH规则。</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7.请各队教练员于赛前技术会议上提交最终的完整的运动员名单及背号至记录员处备案。</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（七）投球数限制</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1.设置投球数限制，投手投球数达到指定数量时，必须在赛会监督下休息指定天数后方可再次投球，被限制投球的运动员可以作为除投手以外的位置上场比赛。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2.投球数和休息时间</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5"/>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投球数</w:t>
            </w:r>
          </w:p>
        </w:tc>
        <w:tc>
          <w:tcPr>
            <w:tcW w:w="3488"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休息时间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1-49球</w:t>
            </w:r>
          </w:p>
        </w:tc>
        <w:tc>
          <w:tcPr>
            <w:tcW w:w="3488"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可不休息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50-104球</w:t>
            </w:r>
          </w:p>
        </w:tc>
        <w:tc>
          <w:tcPr>
            <w:tcW w:w="3488"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5"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最多105球</w:t>
            </w:r>
          </w:p>
        </w:tc>
        <w:tc>
          <w:tcPr>
            <w:tcW w:w="3488" w:type="dxa"/>
            <w:vAlign w:val="center"/>
          </w:tcPr>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4天</w:t>
            </w:r>
          </w:p>
        </w:tc>
      </w:tr>
    </w:tbl>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3.如果一名投手在球数达到105球时，当前击球员没有完成击球任务，该名投手可以继续投球直至该名击球员完成击球任务。</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4.投手投球数将由官方记录员准确记录，同一天比赛中同一投手的投球数将会被累计，所有投手球数情况将在当日比赛全部结束后公布。</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5.违反投手投球数限制，如主教练执意不更换投手时，裁判员判其该场比赛0:20告负。</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6.投球数规则举例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7"/>
        <w:gridCol w:w="1066"/>
        <w:gridCol w:w="1066"/>
        <w:gridCol w:w="1066"/>
        <w:gridCol w:w="106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投手</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第一天</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第二天</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第三天</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第四天</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第五天</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第六天</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投手1</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25</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50</w:t>
            </w:r>
          </w:p>
        </w:tc>
        <w:tc>
          <w:tcPr>
            <w:tcW w:w="1076" w:type="dxa"/>
            <w:shd w:val="clear" w:color="auto" w:fill="D8D8D8" w:themeFill="background1" w:themeFillShade="D9"/>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X</w:t>
            </w: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投手2</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50</w:t>
            </w:r>
          </w:p>
        </w:tc>
        <w:tc>
          <w:tcPr>
            <w:tcW w:w="1076" w:type="dxa"/>
            <w:shd w:val="clear" w:color="auto" w:fill="D8D8D8" w:themeFill="background1" w:themeFillShade="D9"/>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X</w:t>
            </w: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投手3</w:t>
            </w:r>
          </w:p>
        </w:tc>
        <w:tc>
          <w:tcPr>
            <w:tcW w:w="1076"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105</w:t>
            </w:r>
          </w:p>
        </w:tc>
        <w:tc>
          <w:tcPr>
            <w:tcW w:w="1076" w:type="dxa"/>
            <w:shd w:val="clear" w:color="auto" w:fill="D8D8D8" w:themeFill="background1" w:themeFillShade="D9"/>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X</w:t>
            </w:r>
          </w:p>
        </w:tc>
        <w:tc>
          <w:tcPr>
            <w:tcW w:w="1076" w:type="dxa"/>
            <w:shd w:val="clear" w:color="auto" w:fill="D8D8D8" w:themeFill="background1" w:themeFillShade="D9"/>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X</w:t>
            </w:r>
          </w:p>
        </w:tc>
        <w:tc>
          <w:tcPr>
            <w:tcW w:w="1076" w:type="dxa"/>
            <w:shd w:val="clear" w:color="auto" w:fill="D8D8D8" w:themeFill="background1" w:themeFillShade="D9"/>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X</w:t>
            </w:r>
          </w:p>
        </w:tc>
        <w:tc>
          <w:tcPr>
            <w:tcW w:w="1076" w:type="dxa"/>
            <w:shd w:val="clear" w:color="auto" w:fill="D8D8D8" w:themeFill="background1" w:themeFillShade="D9"/>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X</w:t>
            </w: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c>
          <w:tcPr>
            <w:tcW w:w="1076" w:type="dxa"/>
            <w:vAlign w:val="center"/>
          </w:tcPr>
          <w:p>
            <w:pPr>
              <w:adjustRightInd w:val="0"/>
              <w:snapToGrid w:val="0"/>
              <w:spacing w:line="360" w:lineRule="auto"/>
              <w:ind w:firstLine="560" w:firstLineChars="200"/>
              <w:jc w:val="center"/>
              <w:rPr>
                <w:rFonts w:ascii="仿宋" w:hAnsi="仿宋" w:eastAsia="仿宋" w:cs="仿宋"/>
                <w:sz w:val="28"/>
                <w:szCs w:val="28"/>
              </w:rPr>
            </w:pPr>
          </w:p>
        </w:tc>
      </w:tr>
    </w:tbl>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注：阴影X是强制休息日，不可投球。</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7.不计入投球数统计的情况：牵制球、投手犯规（无论球是否投出）、故意四坏保送中没有实际发生的投球。</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（八）服装和器材</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1.各队应准备深、浅颜色两套服装，上场比赛服装必须统一。要求两套比赛服装背号相同、号码清晰。</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2.服装上不允许缝系金属闪亮物和佩戴带尖带钉的饰物。</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比赛时接手须穿戴头盔、护胸、护面、护喉、护腿、护裆，运动员穿棒球钉鞋，击球员和跑垒员必须戴本队统一双耳头盔。比赛中在指导区的教练员或本队队员必须与同队服装一致并佩带头盔，否则不能进入指导区。</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比赛使用金属棒，需有生产商和型号标识，无标识、标记不清晰以及定制球棒（非标准型号），均视为不合格。不得使用碳棒和二段式复合球棒。赛前技术会进行球棒检查，对合格球棒粘贴检查合格标志，无合格标志的球棒不得在比赛中使用。</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5.比赛要求使用世界棒垒联认证、亚棒联指定的比赛用球。</w:t>
      </w:r>
    </w:p>
    <w:p>
      <w:pPr>
        <w:adjustRightInd w:val="0"/>
        <w:snapToGrid w:val="0"/>
        <w:spacing w:line="360" w:lineRule="auto"/>
        <w:ind w:firstLine="642" w:firstLineChars="200"/>
        <w:rPr>
          <w:rFonts w:ascii="仿宋" w:hAnsi="仿宋" w:eastAsia="仿宋" w:cs="Calibri"/>
          <w:b/>
          <w:sz w:val="32"/>
          <w:szCs w:val="32"/>
        </w:rPr>
      </w:pPr>
      <w:r>
        <w:rPr>
          <w:rFonts w:hint="eastAsia" w:ascii="仿宋" w:hAnsi="仿宋" w:eastAsia="仿宋" w:cs="Calibri"/>
          <w:b/>
          <w:sz w:val="32"/>
          <w:szCs w:val="32"/>
        </w:rPr>
        <w:t>七、录取名次和奖励办法</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adjustRightInd w:val="0"/>
        <w:snapToGrid w:val="0"/>
        <w:spacing w:line="360" w:lineRule="auto"/>
        <w:ind w:firstLine="642" w:firstLineChars="200"/>
        <w:rPr>
          <w:rFonts w:ascii="仿宋" w:hAnsi="仿宋" w:eastAsia="仿宋" w:cs="Calibri"/>
          <w:b/>
          <w:sz w:val="32"/>
          <w:szCs w:val="32"/>
        </w:rPr>
      </w:pPr>
      <w:r>
        <w:rPr>
          <w:rFonts w:hint="eastAsia" w:ascii="仿宋" w:hAnsi="仿宋" w:eastAsia="仿宋" w:cs="Calibri"/>
          <w:b/>
          <w:sz w:val="32"/>
          <w:szCs w:val="32"/>
        </w:rPr>
        <w:t>八、技术官员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按照《第一届全国学生（青年）运动会竞赛规程总则》第十一条有关规定执行。</w:t>
      </w:r>
    </w:p>
    <w:p>
      <w:pPr>
        <w:adjustRightInd w:val="0"/>
        <w:snapToGrid w:val="0"/>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九、仲裁</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（一）人员组成和职责范围按体育总局和中国棒球协会相关规定执行。</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（二）比赛中向临场裁判的质询必须由主教练提出，其他人员提出的不予接受。</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（三）凡向技术委员会提出申诉的队伍，必须在赛后1小时内提出申诉书，否则不予受理。</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（四）在本赛事活动中发生的纠纷，可以依法向中国体育仲裁委员会申请仲裁。</w:t>
      </w:r>
    </w:p>
    <w:p>
      <w:pPr>
        <w:adjustRightInd w:val="0"/>
        <w:snapToGrid w:val="0"/>
        <w:spacing w:line="360" w:lineRule="auto"/>
        <w:ind w:firstLine="642" w:firstLineChars="200"/>
        <w:rPr>
          <w:rFonts w:ascii="仿宋" w:hAnsi="仿宋" w:eastAsia="仿宋" w:cs="Calibri"/>
          <w:b/>
          <w:sz w:val="32"/>
          <w:szCs w:val="32"/>
        </w:rPr>
      </w:pPr>
      <w:r>
        <w:rPr>
          <w:rFonts w:hint="eastAsia" w:ascii="仿宋" w:hAnsi="仿宋" w:eastAsia="仿宋" w:cs="Calibri"/>
          <w:b/>
          <w:sz w:val="32"/>
          <w:szCs w:val="32"/>
        </w:rPr>
        <w:t>十、报名和报到</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（一）预赛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参赛队按补充通知要求填写报名表，加盖参赛单位体育局公章。WORD版报名表、盖章版报名表扫描件和所有参赛人员电子版证件照（要求以姓名为文件名）发送至cba@sport.org.cn，盖章纸质版报名表原件赛区提交。报名截止时间为2023年8月4日18时，逾期报名者，不得参加比赛。按补充通知要求报到。</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报名和报到按照《第一届全国学生（青年）运动会竞赛规程总则》第十二条第（二）款有关规定执行。</w:t>
      </w:r>
    </w:p>
    <w:p>
      <w:pPr>
        <w:adjustRightInd w:val="0"/>
        <w:snapToGrid w:val="0"/>
        <w:spacing w:line="360" w:lineRule="auto"/>
        <w:ind w:firstLine="642" w:firstLineChars="200"/>
        <w:rPr>
          <w:rFonts w:ascii="仿宋" w:hAnsi="仿宋" w:eastAsia="仿宋" w:cs="Calibri"/>
          <w:b/>
          <w:sz w:val="32"/>
          <w:szCs w:val="32"/>
        </w:rPr>
      </w:pPr>
      <w:r>
        <w:rPr>
          <w:rFonts w:hint="eastAsia" w:ascii="仿宋" w:hAnsi="仿宋" w:eastAsia="仿宋" w:cs="Calibri"/>
          <w:b/>
          <w:sz w:val="32"/>
          <w:szCs w:val="32"/>
        </w:rPr>
        <w:t>十</w:t>
      </w:r>
      <w:r>
        <w:rPr>
          <w:rFonts w:hint="eastAsia" w:ascii="仿宋" w:hAnsi="仿宋" w:eastAsia="仿宋" w:cs="Calibri"/>
          <w:b/>
          <w:sz w:val="32"/>
          <w:szCs w:val="32"/>
          <w:lang w:eastAsia="zh-CN"/>
        </w:rPr>
        <w:t>一</w:t>
      </w:r>
      <w:r>
        <w:rPr>
          <w:rFonts w:hint="eastAsia" w:ascii="仿宋" w:hAnsi="仿宋" w:eastAsia="仿宋" w:cs="Calibri"/>
          <w:b/>
          <w:sz w:val="32"/>
          <w:szCs w:val="32"/>
        </w:rPr>
        <w:t>、反兴奋剂和赛风赛纪</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按照《第一届全国学生（青年）运动会竞赛规程总则》相关规定执行。</w:t>
      </w:r>
    </w:p>
    <w:p>
      <w:pPr>
        <w:adjustRightInd w:val="0"/>
        <w:snapToGrid w:val="0"/>
        <w:spacing w:line="360" w:lineRule="auto"/>
        <w:ind w:firstLine="642" w:firstLineChars="200"/>
        <w:rPr>
          <w:rFonts w:ascii="仿宋" w:hAnsi="仿宋" w:eastAsia="仿宋" w:cs="Calibri"/>
          <w:b/>
          <w:sz w:val="32"/>
          <w:szCs w:val="32"/>
        </w:rPr>
      </w:pPr>
      <w:r>
        <w:rPr>
          <w:rFonts w:hint="eastAsia" w:ascii="仿宋" w:hAnsi="仿宋" w:eastAsia="仿宋" w:cs="Calibri"/>
          <w:b/>
          <w:sz w:val="32"/>
          <w:szCs w:val="32"/>
        </w:rPr>
        <w:t>十</w:t>
      </w:r>
      <w:r>
        <w:rPr>
          <w:rFonts w:hint="eastAsia" w:ascii="仿宋" w:hAnsi="仿宋" w:eastAsia="仿宋" w:cs="Calibri"/>
          <w:b/>
          <w:sz w:val="32"/>
          <w:szCs w:val="32"/>
          <w:lang w:eastAsia="zh-CN"/>
        </w:rPr>
        <w:t>二</w:t>
      </w:r>
      <w:r>
        <w:rPr>
          <w:rFonts w:hint="eastAsia" w:ascii="仿宋" w:hAnsi="仿宋" w:eastAsia="仿宋" w:cs="Calibri"/>
          <w:b/>
          <w:sz w:val="32"/>
          <w:szCs w:val="32"/>
        </w:rPr>
        <w:t>、罚则</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（一）请各队认真学习中国棒球协会颁布的关于竞赛管理相关规定（官方网站可查询），无依据者不得申诉。</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（二）教练员必须参加赛前技术会，不参加者不得上场指挥。</w:t>
      </w:r>
    </w:p>
    <w:p>
      <w:pPr>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（三）教练员、运动员或随队官员有违反组委会管理规定和违背体育道德行为的，将按违反《中国棒球协会赛区管理规定》和《中国棒球协会赛事活动违规处罚办法》处罚</w:t>
      </w:r>
      <w:r>
        <w:rPr>
          <w:rFonts w:hint="eastAsia" w:ascii="仿宋" w:hAnsi="仿宋" w:eastAsia="仿宋" w:cs="仿宋"/>
          <w:sz w:val="32"/>
          <w:szCs w:val="32"/>
          <w:lang w:eastAsia="zh-CN"/>
        </w:rPr>
        <w:t>。</w:t>
      </w:r>
    </w:p>
    <w:p>
      <w:pPr>
        <w:adjustRightInd w:val="0"/>
        <w:snapToGrid w:val="0"/>
        <w:spacing w:line="360" w:lineRule="auto"/>
        <w:ind w:firstLine="642" w:firstLineChars="200"/>
        <w:rPr>
          <w:rFonts w:hint="eastAsia" w:ascii="仿宋" w:hAnsi="仿宋" w:eastAsia="仿宋" w:cs="Calibri"/>
          <w:b/>
          <w:sz w:val="32"/>
          <w:szCs w:val="32"/>
        </w:rPr>
      </w:pPr>
      <w:r>
        <w:rPr>
          <w:rFonts w:hint="eastAsia" w:ascii="仿宋" w:hAnsi="仿宋" w:eastAsia="仿宋" w:cs="Calibri"/>
          <w:b/>
          <w:sz w:val="32"/>
          <w:szCs w:val="32"/>
        </w:rPr>
        <w:t>十</w:t>
      </w:r>
      <w:r>
        <w:rPr>
          <w:rFonts w:hint="eastAsia" w:ascii="仿宋" w:hAnsi="仿宋" w:eastAsia="仿宋" w:cs="Calibri"/>
          <w:b/>
          <w:sz w:val="32"/>
          <w:szCs w:val="32"/>
          <w:lang w:eastAsia="zh-CN"/>
        </w:rPr>
        <w:t>三</w:t>
      </w:r>
      <w:r>
        <w:rPr>
          <w:rFonts w:hint="eastAsia" w:ascii="仿宋" w:hAnsi="仿宋" w:eastAsia="仿宋" w:cs="Calibri"/>
          <w:b/>
          <w:sz w:val="32"/>
          <w:szCs w:val="32"/>
        </w:rPr>
        <w:t>、经费</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（一）预赛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请各单位按照中国棒球协会要求于赛前缴纳所有参赛人员的食宿等费用，获得决赛资格7支球队运动员的住宿费将于赛后确定资格后予以退回。</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按照组委会相关规定执行。</w:t>
      </w:r>
    </w:p>
    <w:p>
      <w:pPr>
        <w:adjustRightInd w:val="0"/>
        <w:snapToGrid w:val="0"/>
        <w:spacing w:line="360" w:lineRule="auto"/>
        <w:ind w:firstLine="642" w:firstLineChars="200"/>
        <w:rPr>
          <w:rFonts w:ascii="仿宋" w:hAnsi="仿宋" w:eastAsia="仿宋" w:cs="Calibri"/>
          <w:b/>
          <w:sz w:val="32"/>
          <w:szCs w:val="32"/>
        </w:rPr>
      </w:pPr>
      <w:r>
        <w:rPr>
          <w:rFonts w:hint="eastAsia" w:ascii="仿宋" w:hAnsi="仿宋" w:eastAsia="仿宋" w:cs="Calibri"/>
          <w:b/>
          <w:sz w:val="32"/>
          <w:szCs w:val="32"/>
        </w:rPr>
        <w:t>十四、未尽事宜，另行通知</w:t>
      </w:r>
    </w:p>
    <w:sectPr>
      <w:pgSz w:w="11906" w:h="16838"/>
      <w:pgMar w:top="2268"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7A4FCB"/>
    <w:rsid w:val="000136C7"/>
    <w:rsid w:val="0001413E"/>
    <w:rsid w:val="00017CBE"/>
    <w:rsid w:val="00021CEC"/>
    <w:rsid w:val="00050CD6"/>
    <w:rsid w:val="00057514"/>
    <w:rsid w:val="00061943"/>
    <w:rsid w:val="00064BB7"/>
    <w:rsid w:val="00071DF9"/>
    <w:rsid w:val="000771B7"/>
    <w:rsid w:val="00086532"/>
    <w:rsid w:val="000A4A14"/>
    <w:rsid w:val="000A7B10"/>
    <w:rsid w:val="000B014B"/>
    <w:rsid w:val="000B6573"/>
    <w:rsid w:val="000C71CB"/>
    <w:rsid w:val="000D4B4D"/>
    <w:rsid w:val="000F0301"/>
    <w:rsid w:val="000F7E27"/>
    <w:rsid w:val="00107C99"/>
    <w:rsid w:val="00112FC2"/>
    <w:rsid w:val="00114344"/>
    <w:rsid w:val="001201D7"/>
    <w:rsid w:val="00121592"/>
    <w:rsid w:val="001229D8"/>
    <w:rsid w:val="00131CEE"/>
    <w:rsid w:val="00140D26"/>
    <w:rsid w:val="00141DF5"/>
    <w:rsid w:val="00156E33"/>
    <w:rsid w:val="00160542"/>
    <w:rsid w:val="001669B7"/>
    <w:rsid w:val="001710C8"/>
    <w:rsid w:val="00174DBD"/>
    <w:rsid w:val="0017592D"/>
    <w:rsid w:val="001761C0"/>
    <w:rsid w:val="001814DA"/>
    <w:rsid w:val="00195808"/>
    <w:rsid w:val="001B2796"/>
    <w:rsid w:val="001C3AB9"/>
    <w:rsid w:val="001D3D86"/>
    <w:rsid w:val="001D4299"/>
    <w:rsid w:val="001E24B9"/>
    <w:rsid w:val="001E75AC"/>
    <w:rsid w:val="00201DCD"/>
    <w:rsid w:val="00205B5D"/>
    <w:rsid w:val="00210A14"/>
    <w:rsid w:val="00211457"/>
    <w:rsid w:val="002144E1"/>
    <w:rsid w:val="00214B72"/>
    <w:rsid w:val="00226FC0"/>
    <w:rsid w:val="00245151"/>
    <w:rsid w:val="00253B9C"/>
    <w:rsid w:val="002557DB"/>
    <w:rsid w:val="002557E4"/>
    <w:rsid w:val="002844ED"/>
    <w:rsid w:val="00287CAC"/>
    <w:rsid w:val="002A6745"/>
    <w:rsid w:val="002B1FD6"/>
    <w:rsid w:val="002B2C1B"/>
    <w:rsid w:val="002B469A"/>
    <w:rsid w:val="002C2014"/>
    <w:rsid w:val="002D165B"/>
    <w:rsid w:val="00321673"/>
    <w:rsid w:val="00336D12"/>
    <w:rsid w:val="00344501"/>
    <w:rsid w:val="00365343"/>
    <w:rsid w:val="00375422"/>
    <w:rsid w:val="00390B3C"/>
    <w:rsid w:val="003C558E"/>
    <w:rsid w:val="003D5005"/>
    <w:rsid w:val="003F2E1A"/>
    <w:rsid w:val="003F2EA2"/>
    <w:rsid w:val="00412BB6"/>
    <w:rsid w:val="00412FF7"/>
    <w:rsid w:val="004148C0"/>
    <w:rsid w:val="004161E8"/>
    <w:rsid w:val="00417A8D"/>
    <w:rsid w:val="00417F63"/>
    <w:rsid w:val="004255F0"/>
    <w:rsid w:val="004313A1"/>
    <w:rsid w:val="004321C3"/>
    <w:rsid w:val="00442A8D"/>
    <w:rsid w:val="0044644F"/>
    <w:rsid w:val="00466860"/>
    <w:rsid w:val="00471247"/>
    <w:rsid w:val="004963D9"/>
    <w:rsid w:val="004A0A20"/>
    <w:rsid w:val="004A0D7D"/>
    <w:rsid w:val="004A493C"/>
    <w:rsid w:val="004B08AF"/>
    <w:rsid w:val="004B3263"/>
    <w:rsid w:val="004C4DB0"/>
    <w:rsid w:val="004C5E99"/>
    <w:rsid w:val="004D1B17"/>
    <w:rsid w:val="004E2333"/>
    <w:rsid w:val="005170BD"/>
    <w:rsid w:val="00522D3F"/>
    <w:rsid w:val="00537CED"/>
    <w:rsid w:val="00545C1C"/>
    <w:rsid w:val="0054661E"/>
    <w:rsid w:val="0055036A"/>
    <w:rsid w:val="00550D64"/>
    <w:rsid w:val="00556454"/>
    <w:rsid w:val="005564A2"/>
    <w:rsid w:val="005566C2"/>
    <w:rsid w:val="005707BE"/>
    <w:rsid w:val="00572747"/>
    <w:rsid w:val="0057504A"/>
    <w:rsid w:val="005750B9"/>
    <w:rsid w:val="00584A16"/>
    <w:rsid w:val="0058678E"/>
    <w:rsid w:val="00595E78"/>
    <w:rsid w:val="00596B1A"/>
    <w:rsid w:val="005C41D0"/>
    <w:rsid w:val="005C5B7B"/>
    <w:rsid w:val="005D701A"/>
    <w:rsid w:val="005E1887"/>
    <w:rsid w:val="005F2C70"/>
    <w:rsid w:val="005F7349"/>
    <w:rsid w:val="00602BC2"/>
    <w:rsid w:val="006101D0"/>
    <w:rsid w:val="00627011"/>
    <w:rsid w:val="00632D67"/>
    <w:rsid w:val="00634A38"/>
    <w:rsid w:val="006355F6"/>
    <w:rsid w:val="006531E3"/>
    <w:rsid w:val="00662602"/>
    <w:rsid w:val="00666CF6"/>
    <w:rsid w:val="00684941"/>
    <w:rsid w:val="006853F4"/>
    <w:rsid w:val="00693C6A"/>
    <w:rsid w:val="00695A4C"/>
    <w:rsid w:val="00696D25"/>
    <w:rsid w:val="006A598F"/>
    <w:rsid w:val="006B3824"/>
    <w:rsid w:val="006C22BD"/>
    <w:rsid w:val="006C481E"/>
    <w:rsid w:val="006C6B7A"/>
    <w:rsid w:val="006D4748"/>
    <w:rsid w:val="006E0E53"/>
    <w:rsid w:val="006E5A16"/>
    <w:rsid w:val="007002D5"/>
    <w:rsid w:val="00701074"/>
    <w:rsid w:val="0070330C"/>
    <w:rsid w:val="00712BF3"/>
    <w:rsid w:val="0073545F"/>
    <w:rsid w:val="007413E4"/>
    <w:rsid w:val="00742264"/>
    <w:rsid w:val="00744DDE"/>
    <w:rsid w:val="007466FF"/>
    <w:rsid w:val="00746A43"/>
    <w:rsid w:val="007541FF"/>
    <w:rsid w:val="007606CD"/>
    <w:rsid w:val="00771D75"/>
    <w:rsid w:val="007771DB"/>
    <w:rsid w:val="00777C57"/>
    <w:rsid w:val="00793F41"/>
    <w:rsid w:val="007A4FCB"/>
    <w:rsid w:val="007A7970"/>
    <w:rsid w:val="007A7E05"/>
    <w:rsid w:val="007B50AA"/>
    <w:rsid w:val="007C2ABA"/>
    <w:rsid w:val="007C3BC6"/>
    <w:rsid w:val="007E6CF4"/>
    <w:rsid w:val="007E6F08"/>
    <w:rsid w:val="007F18EA"/>
    <w:rsid w:val="0081533D"/>
    <w:rsid w:val="00830A4E"/>
    <w:rsid w:val="00831F22"/>
    <w:rsid w:val="00834273"/>
    <w:rsid w:val="0085248B"/>
    <w:rsid w:val="00884A4D"/>
    <w:rsid w:val="00887BD8"/>
    <w:rsid w:val="00893DCB"/>
    <w:rsid w:val="008A28DC"/>
    <w:rsid w:val="008A6461"/>
    <w:rsid w:val="008A6ADA"/>
    <w:rsid w:val="008A7657"/>
    <w:rsid w:val="008B09BC"/>
    <w:rsid w:val="008B2115"/>
    <w:rsid w:val="008B47A7"/>
    <w:rsid w:val="008B6063"/>
    <w:rsid w:val="008C2EF2"/>
    <w:rsid w:val="008D4AAB"/>
    <w:rsid w:val="008E6058"/>
    <w:rsid w:val="0090216C"/>
    <w:rsid w:val="009054B2"/>
    <w:rsid w:val="00914A29"/>
    <w:rsid w:val="00920126"/>
    <w:rsid w:val="00920AC2"/>
    <w:rsid w:val="0092175B"/>
    <w:rsid w:val="00930282"/>
    <w:rsid w:val="009347C2"/>
    <w:rsid w:val="00940218"/>
    <w:rsid w:val="00943432"/>
    <w:rsid w:val="009506DA"/>
    <w:rsid w:val="009523DD"/>
    <w:rsid w:val="00983B43"/>
    <w:rsid w:val="009960FA"/>
    <w:rsid w:val="009A6A68"/>
    <w:rsid w:val="009B1FBB"/>
    <w:rsid w:val="009B38CE"/>
    <w:rsid w:val="009B5863"/>
    <w:rsid w:val="009D127F"/>
    <w:rsid w:val="009D303A"/>
    <w:rsid w:val="009D316F"/>
    <w:rsid w:val="009E41F9"/>
    <w:rsid w:val="009E672D"/>
    <w:rsid w:val="009F4571"/>
    <w:rsid w:val="009F4CE4"/>
    <w:rsid w:val="009F7E92"/>
    <w:rsid w:val="00A00580"/>
    <w:rsid w:val="00A03AB0"/>
    <w:rsid w:val="00A1298B"/>
    <w:rsid w:val="00A247B1"/>
    <w:rsid w:val="00A30A5D"/>
    <w:rsid w:val="00A31B92"/>
    <w:rsid w:val="00A3459A"/>
    <w:rsid w:val="00A357C1"/>
    <w:rsid w:val="00A406EF"/>
    <w:rsid w:val="00A40F94"/>
    <w:rsid w:val="00A562B1"/>
    <w:rsid w:val="00A62B8B"/>
    <w:rsid w:val="00A62C6E"/>
    <w:rsid w:val="00A64DB9"/>
    <w:rsid w:val="00A70F5E"/>
    <w:rsid w:val="00A84186"/>
    <w:rsid w:val="00A863E0"/>
    <w:rsid w:val="00A86FE0"/>
    <w:rsid w:val="00A8798F"/>
    <w:rsid w:val="00AA0A11"/>
    <w:rsid w:val="00AA2C08"/>
    <w:rsid w:val="00AC17F1"/>
    <w:rsid w:val="00AC274F"/>
    <w:rsid w:val="00AC55A1"/>
    <w:rsid w:val="00AD14D1"/>
    <w:rsid w:val="00AD1AD7"/>
    <w:rsid w:val="00AE6FCE"/>
    <w:rsid w:val="00B01C42"/>
    <w:rsid w:val="00B038E9"/>
    <w:rsid w:val="00B11C1B"/>
    <w:rsid w:val="00B31FF1"/>
    <w:rsid w:val="00B36326"/>
    <w:rsid w:val="00B3663B"/>
    <w:rsid w:val="00B36FC4"/>
    <w:rsid w:val="00B40867"/>
    <w:rsid w:val="00B409F6"/>
    <w:rsid w:val="00B46464"/>
    <w:rsid w:val="00B526AF"/>
    <w:rsid w:val="00B620C9"/>
    <w:rsid w:val="00B70B79"/>
    <w:rsid w:val="00B827B0"/>
    <w:rsid w:val="00B83939"/>
    <w:rsid w:val="00BA44D7"/>
    <w:rsid w:val="00BA62F6"/>
    <w:rsid w:val="00BC2482"/>
    <w:rsid w:val="00BC7F4B"/>
    <w:rsid w:val="00BE083C"/>
    <w:rsid w:val="00BE22FE"/>
    <w:rsid w:val="00BF7D52"/>
    <w:rsid w:val="00C01FD7"/>
    <w:rsid w:val="00C066CA"/>
    <w:rsid w:val="00C27B04"/>
    <w:rsid w:val="00C30F48"/>
    <w:rsid w:val="00C3517D"/>
    <w:rsid w:val="00C36974"/>
    <w:rsid w:val="00C51DE8"/>
    <w:rsid w:val="00C53843"/>
    <w:rsid w:val="00C5701F"/>
    <w:rsid w:val="00C63F47"/>
    <w:rsid w:val="00C81F1D"/>
    <w:rsid w:val="00C83FEE"/>
    <w:rsid w:val="00C96355"/>
    <w:rsid w:val="00CA79A0"/>
    <w:rsid w:val="00CB0B42"/>
    <w:rsid w:val="00CE147D"/>
    <w:rsid w:val="00CE72E9"/>
    <w:rsid w:val="00CF0141"/>
    <w:rsid w:val="00D015E6"/>
    <w:rsid w:val="00D17850"/>
    <w:rsid w:val="00D340C5"/>
    <w:rsid w:val="00D465A1"/>
    <w:rsid w:val="00D47CCB"/>
    <w:rsid w:val="00D52ED1"/>
    <w:rsid w:val="00D57011"/>
    <w:rsid w:val="00D81B25"/>
    <w:rsid w:val="00D83014"/>
    <w:rsid w:val="00D90D35"/>
    <w:rsid w:val="00D94269"/>
    <w:rsid w:val="00DB1599"/>
    <w:rsid w:val="00DC24C3"/>
    <w:rsid w:val="00DC3D64"/>
    <w:rsid w:val="00DC6F6E"/>
    <w:rsid w:val="00DD4657"/>
    <w:rsid w:val="00DE562B"/>
    <w:rsid w:val="00E06938"/>
    <w:rsid w:val="00E175CA"/>
    <w:rsid w:val="00E25AE7"/>
    <w:rsid w:val="00E33E71"/>
    <w:rsid w:val="00E34FDC"/>
    <w:rsid w:val="00E452C4"/>
    <w:rsid w:val="00E47505"/>
    <w:rsid w:val="00E61BC0"/>
    <w:rsid w:val="00E64F5F"/>
    <w:rsid w:val="00E65105"/>
    <w:rsid w:val="00E76E19"/>
    <w:rsid w:val="00EA2AEA"/>
    <w:rsid w:val="00EA6327"/>
    <w:rsid w:val="00EA6CFC"/>
    <w:rsid w:val="00ED0FC3"/>
    <w:rsid w:val="00ED61CA"/>
    <w:rsid w:val="00EE4DC6"/>
    <w:rsid w:val="00F035CD"/>
    <w:rsid w:val="00F05BE7"/>
    <w:rsid w:val="00F25B93"/>
    <w:rsid w:val="00F32AF4"/>
    <w:rsid w:val="00F46548"/>
    <w:rsid w:val="00F50E1C"/>
    <w:rsid w:val="00F53DB2"/>
    <w:rsid w:val="00F87537"/>
    <w:rsid w:val="00F92A80"/>
    <w:rsid w:val="00FA0387"/>
    <w:rsid w:val="00FA6E18"/>
    <w:rsid w:val="00FC09E6"/>
    <w:rsid w:val="00FC2FBE"/>
    <w:rsid w:val="00FE0E8B"/>
    <w:rsid w:val="00FE3B5F"/>
    <w:rsid w:val="00FF1DBF"/>
    <w:rsid w:val="021E21B9"/>
    <w:rsid w:val="10F27994"/>
    <w:rsid w:val="1A713300"/>
    <w:rsid w:val="3AB96CCB"/>
    <w:rsid w:val="3FF44955"/>
    <w:rsid w:val="50307552"/>
    <w:rsid w:val="56E70A8E"/>
    <w:rsid w:val="5AC85015"/>
    <w:rsid w:val="5B043BE1"/>
    <w:rsid w:val="5B174420"/>
    <w:rsid w:val="5B3B5C88"/>
    <w:rsid w:val="5ED457EC"/>
    <w:rsid w:val="616A2B50"/>
    <w:rsid w:val="61E77150"/>
    <w:rsid w:val="6E4347A5"/>
    <w:rsid w:val="75373E0D"/>
    <w:rsid w:val="761462A8"/>
    <w:rsid w:val="78334815"/>
    <w:rsid w:val="784C310E"/>
    <w:rsid w:val="78A916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kern w:val="2"/>
      <w:sz w:val="18"/>
      <w:szCs w:val="18"/>
    </w:rPr>
  </w:style>
  <w:style w:type="character" w:customStyle="1" w:styleId="9">
    <w:name w:val="页脚 Char"/>
    <w:basedOn w:val="7"/>
    <w:link w:val="3"/>
    <w:qFormat/>
    <w:uiPriority w:val="99"/>
    <w:rPr>
      <w:rFonts w:ascii="Times New Roman" w:hAnsi="Times New Roman"/>
      <w:kern w:val="2"/>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616</Words>
  <Characters>3514</Characters>
  <Lines>29</Lines>
  <Paragraphs>8</Paragraphs>
  <TotalTime>2</TotalTime>
  <ScaleCrop>false</ScaleCrop>
  <LinksUpToDate>false</LinksUpToDate>
  <CharactersWithSpaces>4122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2023-03-29T16:21:00Z</dcterms:created>
  <dc:creator>TinaH</dc:creator>
  <cp:lastModifiedBy>jianing</cp:lastModifiedBy>
  <cp:lastPrinted>2023-06-15T16:26:00Z</cp:lastPrinted>
  <dcterms:modified xsi:type="dcterms:W3CDTF">2023-07-18T12:29:15Z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D3B2255FFB604BCEA3ECFDB053BA1D31</vt:lpwstr>
  </property>
</Properties>
</file>