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autoSpaceDE/>
        <w:autoSpaceDN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bidi="ar-SA"/>
        </w:rPr>
        <w:t>第一届全国学生（青年）运动会（公开组）</w:t>
      </w:r>
    </w:p>
    <w:p>
      <w:pPr>
        <w:pStyle w:val="3"/>
        <w:autoSpaceDE/>
        <w:autoSpaceDN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bidi="ar-SA"/>
        </w:rPr>
        <w:t>垒球项目竞赛规程</w:t>
      </w:r>
      <w:bookmarkStart w:id="5" w:name="_GoBack"/>
      <w:bookmarkEnd w:id="5"/>
    </w:p>
    <w:p>
      <w:pPr>
        <w:widowControl/>
        <w:spacing w:line="360" w:lineRule="auto"/>
        <w:jc w:val="center"/>
        <w:rPr>
          <w:rFonts w:ascii="方正小标宋简体" w:hAnsi="宋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一、竞赛时间和地点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预赛：6月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14-23日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陕西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西安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决赛：11月，广西桂林。</w:t>
      </w:r>
    </w:p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二、竞赛项目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  <w:bookmarkStart w:id="0" w:name="_Hlk131669474"/>
      <w:r>
        <w:rPr>
          <w:rFonts w:hint="eastAsia" w:ascii="仿宋" w:hAnsi="仿宋" w:eastAsia="仿宋" w:cstheme="minorBidi"/>
          <w:sz w:val="32"/>
          <w:szCs w:val="32"/>
        </w:rPr>
        <w:t>按照《第一届全国学生（青年）运动会（公开组）小项和年龄设置方案》相关规定执行。</w:t>
      </w:r>
    </w:p>
    <w:bookmarkEnd w:id="0"/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三、参加单位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以上单位有资格报名参加比赛。</w:t>
      </w:r>
    </w:p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四、运动员资格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bookmarkStart w:id="1" w:name="_Hlk131671703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运动员资格按照《第一届全国学生（青年）运动会竞赛规程总则》第六条第（二）款有关规定执行。</w:t>
      </w:r>
      <w:bookmarkEnd w:id="1"/>
    </w:p>
    <w:p>
      <w:pPr>
        <w:pStyle w:val="22"/>
        <w:spacing w:line="360" w:lineRule="auto"/>
        <w:ind w:firstLine="6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2" w:name="_Hlk131670414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</w:t>
      </w:r>
      <w:bookmarkStart w:id="3" w:name="_Hlk131667866"/>
      <w:bookmarkStart w:id="4" w:name="_Hlk131669518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运动员年龄按照《第一届全国学生（青年）运动会（公开组）小项和年龄设置方案》执行。</w:t>
      </w:r>
      <w:bookmarkEnd w:id="3"/>
    </w:p>
    <w:bookmarkEnd w:id="2"/>
    <w:bookmarkEnd w:id="4"/>
    <w:p>
      <w:pPr>
        <w:pStyle w:val="22"/>
        <w:spacing w:line="360" w:lineRule="auto"/>
        <w:ind w:firstLine="6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>
      <w:pPr>
        <w:pStyle w:val="4"/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和决赛</w:t>
      </w:r>
      <w:r>
        <w:rPr>
          <w:rFonts w:hint="eastAsia" w:ascii="仿宋" w:hAnsi="仿宋" w:eastAsia="仿宋" w:cs="仿宋"/>
          <w:sz w:val="32"/>
          <w:szCs w:val="32"/>
        </w:rPr>
        <w:t>报名截止后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一周内</w:t>
      </w:r>
      <w:r>
        <w:rPr>
          <w:rFonts w:hint="eastAsia" w:ascii="仿宋" w:hAnsi="仿宋" w:eastAsia="仿宋" w:cs="仿宋"/>
          <w:sz w:val="32"/>
          <w:szCs w:val="32"/>
        </w:rPr>
        <w:t>将在中国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垒球</w:t>
      </w:r>
      <w:r>
        <w:rPr>
          <w:rFonts w:hint="eastAsia" w:ascii="仿宋" w:hAnsi="仿宋" w:eastAsia="仿宋" w:cs="仿宋"/>
          <w:sz w:val="32"/>
          <w:szCs w:val="32"/>
        </w:rPr>
        <w:t>协会官方网站对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运动队和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  <w:r>
        <w:rPr>
          <w:rFonts w:hint="eastAsia" w:ascii="仿宋" w:hAnsi="仿宋" w:eastAsia="仿宋" w:cs="仿宋"/>
          <w:sz w:val="32"/>
          <w:szCs w:val="32"/>
        </w:rPr>
        <w:t>进行公示，公示期间对运动员代表资格有异议，请书面反馈（加盖公章）至中国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垒</w:t>
      </w:r>
      <w:r>
        <w:rPr>
          <w:rFonts w:hint="eastAsia" w:ascii="仿宋" w:hAnsi="仿宋" w:eastAsia="仿宋" w:cs="仿宋"/>
          <w:sz w:val="32"/>
          <w:szCs w:val="32"/>
        </w:rPr>
        <w:t>球协会。公示期间未提出异议的，视为各单位对运动员代表资格无意见。</w:t>
      </w:r>
    </w:p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五、参加办法</w:t>
      </w:r>
    </w:p>
    <w:p>
      <w:pPr>
        <w:tabs>
          <w:tab w:val="left" w:pos="640"/>
        </w:tabs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（一）预赛每队可报领队1名，教练员3名，医生1名，运动员18名。</w:t>
      </w:r>
    </w:p>
    <w:p>
      <w:pPr>
        <w:tabs>
          <w:tab w:val="left" w:pos="640"/>
        </w:tabs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（二）广西可选派1个所属城市和预赛前7名队伍进入决赛，否则预赛前8名队伍进入决赛。</w:t>
      </w:r>
    </w:p>
    <w:p>
      <w:pPr>
        <w:tabs>
          <w:tab w:val="left" w:pos="640"/>
        </w:tabs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（三）决赛官员和运动员数量同预赛。</w:t>
      </w:r>
    </w:p>
    <w:p>
      <w:pPr>
        <w:tabs>
          <w:tab w:val="left" w:pos="64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六、竞赛办法</w:t>
      </w:r>
    </w:p>
    <w:p>
      <w:pPr>
        <w:tabs>
          <w:tab w:val="left" w:pos="640"/>
        </w:tabs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（一）预赛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根据报名队数决定竞赛办法。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（二）决赛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采取分组循环加超级循环赛制。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分组循环赛依据预赛成绩（如广西选派1个所属城市直接参加决赛，其顺序为最后一位），采用相邻名次抽签办法分成两组。同省（市）的队伍不能同在一组，须强制分组。如分组无法分开，则安排在分组循环首轮比赛中进行。循环赛编排按“1”不动逆时针旋转原则进行编排。每个小组的前两名进入超级循环赛，后两名进入排位循环赛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超级循环与排位循环赛中，在小组循环赛中相遇过的队伍之间不再进行比赛，直接采用小组赛两队交手成绩。超级循环赛前两名进入冠亚军决赛，后两名进入三四名比赛。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（三）循环赛计分与决定名次方法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1.胜一场得2分，负一场得O分，积分多者列前。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2.如比赛中某队在三局领先15分（含）以上、四局领先10分（含）以上或五局领先7分（含）以上时，比赛即结束。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3.循环赛中如遇两队或两队以上积分相等，按下列办法决定名次：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如两队积分相等，则依据相互间胜负决定名次，胜者名次列前；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如两队以上积分相等，按以下规则依次比较：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（1）依据相互间比赛战绩决定名次，胜场多者名次列前；如其中两队胜场数相同，则按这两队之间比赛的胜负关系决定两队名次先后，胜者列前。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（2）如按第（1）条排列时仍有不能区分名次者，则依据相互间比赛失分情况决定；按失分越少排名越靠前的规则排列；直至剩最后两队时，则按这两队之间比赛的胜负关系决定两队名次，胜者列前。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（3）如按第（2）条排列时仍有不能区分名次者，则：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①当只有两队失分相同时，按两队之间的比赛胜负决定名次，胜者列前；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②当有两队以上失分相同时，则依据全部循环赛失分多少决定名次，按失分越少排名越靠前规则排列，直至剩最后两队时，按这两队之间比赛的胜负关系决定名次，胜者列前。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（4）如按第（3）条排列时仍有相同者，则抽签决定。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（四）比赛中如因天气等特殊情况，不能按原计划完成全部赛程时，组委会有权决定修改竞赛办法和名次产生办法。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比赛执行《2022-2025垒球竞赛规则》。比赛用球采用符合国际标准的12英寸比赛垒球。比赛用球棒应为正规厂家出品，标识清晰并符合世界棒垒球联合会相关规定，其认证机构可以为“WBSC”、“ISF”、“ASA”、“SCA”、“JSA”或中国垒球协会。凡出现变形、断裂、漆面磨损严重以及陈旧等问题的球棒，不允许在比赛中使用。对违规球棒的处理按竞赛规则相关规定执行。</w:t>
      </w:r>
    </w:p>
    <w:p>
      <w:pPr>
        <w:pStyle w:val="22"/>
        <w:spacing w:line="360" w:lineRule="auto"/>
        <w:ind w:left="0" w:leftChars="0" w:firstLine="642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七、录取名次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sz w:val="32"/>
          <w:szCs w:val="32"/>
        </w:rPr>
        <w:t>奖励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办法</w:t>
      </w:r>
    </w:p>
    <w:p>
      <w:pPr>
        <w:pStyle w:val="22"/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按照《第一届全国学生（青年）运动会竞赛规程总则》第九条有关规定执行。</w:t>
      </w:r>
    </w:p>
    <w:p>
      <w:pPr>
        <w:pStyle w:val="22"/>
        <w:spacing w:line="360" w:lineRule="auto"/>
        <w:ind w:left="0" w:leftChars="0"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sz w:val="32"/>
          <w:szCs w:val="32"/>
        </w:rPr>
        <w:t>技术官员</w:t>
      </w:r>
    </w:p>
    <w:p>
      <w:pPr>
        <w:pStyle w:val="2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按照《第一届全国学生（青年）运动会竞赛规程总则》第十一条有关规定执行。</w:t>
      </w:r>
    </w:p>
    <w:p>
      <w:pPr>
        <w:pStyle w:val="22"/>
        <w:numPr>
          <w:ilvl w:val="0"/>
          <w:numId w:val="0"/>
        </w:numPr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sz w:val="32"/>
          <w:szCs w:val="32"/>
        </w:rPr>
        <w:t>报名和报到</w:t>
      </w:r>
    </w:p>
    <w:p>
      <w:pPr>
        <w:pStyle w:val="2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（一）预赛</w:t>
      </w:r>
    </w:p>
    <w:p>
      <w:pPr>
        <w:pStyle w:val="2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按照中国垒球协会另行公布的补充通知报名。</w:t>
      </w:r>
    </w:p>
    <w:p>
      <w:pPr>
        <w:pStyle w:val="2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所有人员按照补充通知要求时间报到，提前报到者，费用自理。所有参赛人员于赛后第一天离会，因故无法按时离会人员，所需费用自理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（二）决赛</w:t>
      </w:r>
    </w:p>
    <w:p>
      <w:pPr>
        <w:pStyle w:val="2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报名和报到按照《第一届全国学生（青年）运动会竞赛规程总则》第十二条第（二）款有关规定执行。</w:t>
      </w:r>
    </w:p>
    <w:p>
      <w:pPr>
        <w:pStyle w:val="22"/>
        <w:numPr>
          <w:ilvl w:val="0"/>
          <w:numId w:val="0"/>
        </w:numPr>
        <w:spacing w:line="360" w:lineRule="auto"/>
        <w:ind w:firstLine="642" w:firstLineChars="200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b/>
          <w:sz w:val="32"/>
          <w:szCs w:val="32"/>
        </w:rPr>
        <w:t>兴奋剂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和赛风赛纪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按照《第一届全国学生（青年）运动会竞赛规程总则》相关规定执行。</w:t>
      </w:r>
    </w:p>
    <w:p>
      <w:pPr>
        <w:tabs>
          <w:tab w:val="left" w:pos="188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b/>
          <w:sz w:val="32"/>
          <w:szCs w:val="32"/>
        </w:rPr>
        <w:t>医疗与保险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参赛队所有人员必须于赛前进行体检并办理保险，报到时将体检合格证明和保险证明交组委会。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比赛期间出现的伤病事故、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人身损害和财产损失等由各参赛队负责，组委会协助解决。</w:t>
      </w:r>
    </w:p>
    <w:p>
      <w:pPr>
        <w:tabs>
          <w:tab w:val="left" w:pos="1880"/>
        </w:tabs>
        <w:spacing w:line="360" w:lineRule="auto"/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十二、经费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（一）预赛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运动员住宿费由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中国垒球协会和赛区负担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，随队官员（含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领队、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教练员、医生等）需缴纳住宿费，所有参赛人员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按标准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缴纳伙食费。交通费、医疗费、差旅费等由各队自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行负担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赛区</w:t>
      </w:r>
      <w:r>
        <w:rPr>
          <w:rFonts w:hint="eastAsia" w:ascii="仿宋" w:hAnsi="仿宋" w:eastAsia="仿宋" w:cs="仿宋"/>
          <w:sz w:val="32"/>
          <w:szCs w:val="32"/>
        </w:rPr>
        <w:t>负担酒店至训练场、赛场的交通。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决赛</w:t>
      </w:r>
    </w:p>
    <w:p>
      <w:pPr>
        <w:tabs>
          <w:tab w:val="left" w:pos="1880"/>
        </w:tabs>
        <w:spacing w:line="360" w:lineRule="auto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按照组委会相关规定执行。</w:t>
      </w:r>
    </w:p>
    <w:p>
      <w:pPr>
        <w:tabs>
          <w:tab w:val="left" w:pos="1880"/>
        </w:tabs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十三、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未尽事宜，另行通知</w:t>
      </w:r>
    </w:p>
    <w:sectPr>
      <w:footerReference r:id="rId3" w:type="default"/>
      <w:pgSz w:w="11906" w:h="16838"/>
      <w:pgMar w:top="226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758801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0B0FA7"/>
    <w:rsid w:val="0000119E"/>
    <w:rsid w:val="000075B9"/>
    <w:rsid w:val="00082890"/>
    <w:rsid w:val="000B0FA7"/>
    <w:rsid w:val="000B3230"/>
    <w:rsid w:val="000B3417"/>
    <w:rsid w:val="000D7235"/>
    <w:rsid w:val="001022D0"/>
    <w:rsid w:val="001143F3"/>
    <w:rsid w:val="001331CF"/>
    <w:rsid w:val="00156A99"/>
    <w:rsid w:val="00157E66"/>
    <w:rsid w:val="00185FA4"/>
    <w:rsid w:val="001C2F92"/>
    <w:rsid w:val="001C42C7"/>
    <w:rsid w:val="00203333"/>
    <w:rsid w:val="00210A5D"/>
    <w:rsid w:val="00220430"/>
    <w:rsid w:val="003322D3"/>
    <w:rsid w:val="003616EB"/>
    <w:rsid w:val="00380FA5"/>
    <w:rsid w:val="00386654"/>
    <w:rsid w:val="00386A8C"/>
    <w:rsid w:val="003956A8"/>
    <w:rsid w:val="003D2241"/>
    <w:rsid w:val="003D627C"/>
    <w:rsid w:val="003E4F23"/>
    <w:rsid w:val="003F22F2"/>
    <w:rsid w:val="00420E5C"/>
    <w:rsid w:val="004613B0"/>
    <w:rsid w:val="004A3C24"/>
    <w:rsid w:val="004B3C30"/>
    <w:rsid w:val="004C1250"/>
    <w:rsid w:val="004D1509"/>
    <w:rsid w:val="004D3A0B"/>
    <w:rsid w:val="00506D50"/>
    <w:rsid w:val="00574200"/>
    <w:rsid w:val="005839F8"/>
    <w:rsid w:val="005B5BB5"/>
    <w:rsid w:val="005D3FA5"/>
    <w:rsid w:val="005E0ECC"/>
    <w:rsid w:val="005F4595"/>
    <w:rsid w:val="00602842"/>
    <w:rsid w:val="006232DF"/>
    <w:rsid w:val="006355D7"/>
    <w:rsid w:val="006B0DFD"/>
    <w:rsid w:val="006E1C9F"/>
    <w:rsid w:val="00705B32"/>
    <w:rsid w:val="007157E8"/>
    <w:rsid w:val="007415B4"/>
    <w:rsid w:val="00756CF9"/>
    <w:rsid w:val="00766A23"/>
    <w:rsid w:val="00790A68"/>
    <w:rsid w:val="007E4749"/>
    <w:rsid w:val="007F37FE"/>
    <w:rsid w:val="00815D38"/>
    <w:rsid w:val="0083790B"/>
    <w:rsid w:val="00845C77"/>
    <w:rsid w:val="00847380"/>
    <w:rsid w:val="00864770"/>
    <w:rsid w:val="00876BB8"/>
    <w:rsid w:val="00892DE7"/>
    <w:rsid w:val="00897139"/>
    <w:rsid w:val="0097532F"/>
    <w:rsid w:val="0099689D"/>
    <w:rsid w:val="009C07E6"/>
    <w:rsid w:val="009D7007"/>
    <w:rsid w:val="009E3023"/>
    <w:rsid w:val="009F691E"/>
    <w:rsid w:val="00A10763"/>
    <w:rsid w:val="00A61E75"/>
    <w:rsid w:val="00A6428A"/>
    <w:rsid w:val="00A9575B"/>
    <w:rsid w:val="00AB408C"/>
    <w:rsid w:val="00AE396E"/>
    <w:rsid w:val="00AE5E05"/>
    <w:rsid w:val="00B16846"/>
    <w:rsid w:val="00B34332"/>
    <w:rsid w:val="00B37D2E"/>
    <w:rsid w:val="00B707D1"/>
    <w:rsid w:val="00B71A3E"/>
    <w:rsid w:val="00B874F3"/>
    <w:rsid w:val="00B92763"/>
    <w:rsid w:val="00BD54FC"/>
    <w:rsid w:val="00BE079D"/>
    <w:rsid w:val="00BE452D"/>
    <w:rsid w:val="00C30D25"/>
    <w:rsid w:val="00C438D2"/>
    <w:rsid w:val="00C529B3"/>
    <w:rsid w:val="00CD0448"/>
    <w:rsid w:val="00D17BB4"/>
    <w:rsid w:val="00D26015"/>
    <w:rsid w:val="00D53E46"/>
    <w:rsid w:val="00D846D8"/>
    <w:rsid w:val="00DA053C"/>
    <w:rsid w:val="00DA43AE"/>
    <w:rsid w:val="00DD4BEA"/>
    <w:rsid w:val="00E20492"/>
    <w:rsid w:val="00E20F3C"/>
    <w:rsid w:val="00E819EE"/>
    <w:rsid w:val="00ED6685"/>
    <w:rsid w:val="00EF06DD"/>
    <w:rsid w:val="00EF56EA"/>
    <w:rsid w:val="00F042AA"/>
    <w:rsid w:val="00F155D8"/>
    <w:rsid w:val="00F16B59"/>
    <w:rsid w:val="00F24116"/>
    <w:rsid w:val="00F47CB2"/>
    <w:rsid w:val="00F533F0"/>
    <w:rsid w:val="00FD2285"/>
    <w:rsid w:val="00FF3973"/>
    <w:rsid w:val="00FF5405"/>
    <w:rsid w:val="360D7FBA"/>
    <w:rsid w:val="564555D5"/>
    <w:rsid w:val="5C9DB807"/>
    <w:rsid w:val="EFFB408F"/>
    <w:rsid w:val="F7E59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Body Text"/>
    <w:basedOn w:val="1"/>
    <w:link w:val="20"/>
    <w:qFormat/>
    <w:uiPriority w:val="1"/>
    <w:pPr>
      <w:autoSpaceDE w:val="0"/>
      <w:autoSpaceDN w:val="0"/>
      <w:ind w:left="106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</w:r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19"/>
    <w:qFormat/>
    <w:uiPriority w:val="99"/>
    <w:rPr>
      <w:b/>
      <w:bCs/>
    </w:rPr>
  </w:style>
  <w:style w:type="character" w:styleId="12">
    <w:name w:val="annotation reference"/>
    <w:qFormat/>
    <w:uiPriority w:val="99"/>
    <w:rPr>
      <w:sz w:val="21"/>
      <w:szCs w:val="21"/>
    </w:rPr>
  </w:style>
  <w:style w:type="character" w:customStyle="1" w:styleId="13">
    <w:name w:val="页眉 字符"/>
    <w:link w:val="7"/>
    <w:qFormat/>
    <w:uiPriority w:val="0"/>
    <w:rPr>
      <w:kern w:val="2"/>
      <w:sz w:val="18"/>
    </w:rPr>
  </w:style>
  <w:style w:type="character" w:customStyle="1" w:styleId="14">
    <w:name w:val="批注框文本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</w:rPr>
  </w:style>
  <w:style w:type="character" w:customStyle="1" w:styleId="16">
    <w:name w:val="纯文本 字符1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7">
    <w:name w:val="纯文本 字符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批注文字 字符"/>
    <w:link w:val="2"/>
    <w:qFormat/>
    <w:uiPriority w:val="99"/>
    <w:rPr>
      <w:kern w:val="2"/>
      <w:sz w:val="21"/>
    </w:rPr>
  </w:style>
  <w:style w:type="character" w:customStyle="1" w:styleId="19">
    <w:name w:val="批注主题 字符"/>
    <w:link w:val="9"/>
    <w:qFormat/>
    <w:uiPriority w:val="99"/>
    <w:rPr>
      <w:b/>
      <w:bCs/>
      <w:kern w:val="2"/>
      <w:sz w:val="21"/>
    </w:rPr>
  </w:style>
  <w:style w:type="character" w:customStyle="1" w:styleId="20">
    <w:name w:val="正文文本 字符"/>
    <w:basedOn w:val="11"/>
    <w:link w:val="3"/>
    <w:qFormat/>
    <w:uiPriority w:val="1"/>
    <w:rPr>
      <w:rFonts w:ascii="宋体" w:hAnsi="宋体" w:cs="宋体"/>
      <w:sz w:val="30"/>
      <w:szCs w:val="30"/>
      <w:lang w:val="zh-CN" w:bidi="zh-CN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2454</Words>
  <Characters>2488</Characters>
  <Lines>18</Lines>
  <Paragraphs>5</Paragraphs>
  <TotalTime>4</TotalTime>
  <ScaleCrop>false</ScaleCrop>
  <LinksUpToDate>false</LinksUpToDate>
  <CharactersWithSpaces>2488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2023-03-31T16:23:00Z</dcterms:created>
  <dc:creator>yx</dc:creator>
  <cp:lastModifiedBy>jianing</cp:lastModifiedBy>
  <cp:lastPrinted>2021-01-27T23:30:00Z</cp:lastPrinted>
  <dcterms:modified xsi:type="dcterms:W3CDTF">2023-05-30T16:07:01Z</dcterms:modified>
  <dc:title>中华人民共和国第十二届运动会垒球竞赛规程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2C8DB6293DFD4CEFA89061B3248D094F_12</vt:lpwstr>
  </property>
</Properties>
</file>